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276" w:rsidRPr="003B38EE" w:rsidRDefault="002F7276" w:rsidP="003B38EE">
      <w:pPr>
        <w:spacing w:line="480" w:lineRule="auto"/>
        <w:jc w:val="center"/>
        <w:rPr>
          <w:rFonts w:ascii="Times New Roman" w:eastAsia="Times New Roman" w:hAnsi="Times New Roman" w:cs="Times New Roman"/>
          <w:sz w:val="24"/>
          <w:szCs w:val="24"/>
        </w:rPr>
      </w:pPr>
    </w:p>
    <w:p w:rsidR="002F7276" w:rsidRPr="003B38EE" w:rsidRDefault="002F7276" w:rsidP="003B38EE">
      <w:pPr>
        <w:spacing w:line="480" w:lineRule="auto"/>
        <w:jc w:val="center"/>
        <w:rPr>
          <w:rFonts w:ascii="Times New Roman" w:eastAsia="Times New Roman" w:hAnsi="Times New Roman" w:cs="Times New Roman"/>
          <w:sz w:val="24"/>
          <w:szCs w:val="24"/>
        </w:rPr>
      </w:pPr>
    </w:p>
    <w:p w:rsidR="002F7276" w:rsidRPr="003B38EE" w:rsidRDefault="002F7276" w:rsidP="003B38EE">
      <w:pPr>
        <w:spacing w:line="480" w:lineRule="auto"/>
        <w:jc w:val="center"/>
        <w:rPr>
          <w:rFonts w:ascii="Times New Roman" w:eastAsia="Times New Roman" w:hAnsi="Times New Roman" w:cs="Times New Roman"/>
          <w:sz w:val="24"/>
          <w:szCs w:val="24"/>
        </w:rPr>
      </w:pPr>
    </w:p>
    <w:p w:rsidR="002F7276" w:rsidRPr="003B38EE" w:rsidRDefault="002F7276" w:rsidP="003B38EE">
      <w:pPr>
        <w:spacing w:line="480" w:lineRule="auto"/>
        <w:jc w:val="center"/>
        <w:rPr>
          <w:rFonts w:ascii="Times New Roman" w:eastAsia="Times New Roman" w:hAnsi="Times New Roman" w:cs="Times New Roman"/>
          <w:sz w:val="24"/>
          <w:szCs w:val="24"/>
        </w:rPr>
      </w:pPr>
    </w:p>
    <w:p w:rsidR="002F7276" w:rsidRPr="003B38EE" w:rsidRDefault="002F7276" w:rsidP="003B38EE">
      <w:pPr>
        <w:spacing w:line="480" w:lineRule="auto"/>
        <w:jc w:val="center"/>
        <w:rPr>
          <w:rFonts w:ascii="Times New Roman" w:eastAsia="Times New Roman" w:hAnsi="Times New Roman" w:cs="Times New Roman"/>
          <w:sz w:val="24"/>
          <w:szCs w:val="24"/>
        </w:rPr>
      </w:pPr>
    </w:p>
    <w:p w:rsidR="002F7276" w:rsidRPr="003B38EE" w:rsidRDefault="00FB551D" w:rsidP="003B38EE">
      <w:pPr>
        <w:spacing w:line="480" w:lineRule="auto"/>
        <w:jc w:val="center"/>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Strategic and Financial Making Decision</w:t>
      </w:r>
    </w:p>
    <w:p w:rsidR="002F7276" w:rsidRPr="003B38EE" w:rsidRDefault="00FB551D" w:rsidP="003B38EE">
      <w:pPr>
        <w:spacing w:line="480" w:lineRule="auto"/>
        <w:jc w:val="center"/>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Student’s Name</w:t>
      </w:r>
    </w:p>
    <w:p w:rsidR="002F7276" w:rsidRPr="003B38EE" w:rsidRDefault="00FB551D" w:rsidP="003B38EE">
      <w:pPr>
        <w:spacing w:line="480" w:lineRule="auto"/>
        <w:jc w:val="center"/>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Institutional Affiliation</w:t>
      </w:r>
    </w:p>
    <w:p w:rsidR="002F7276" w:rsidRPr="003B38EE" w:rsidRDefault="00FB551D" w:rsidP="003B38EE">
      <w:pPr>
        <w:spacing w:line="480" w:lineRule="auto"/>
        <w:rPr>
          <w:rFonts w:ascii="Times New Roman" w:eastAsia="Times New Roman" w:hAnsi="Times New Roman" w:cs="Times New Roman"/>
          <w:b/>
          <w:sz w:val="24"/>
          <w:szCs w:val="24"/>
        </w:rPr>
      </w:pPr>
      <w:r w:rsidRPr="003B38EE">
        <w:rPr>
          <w:rFonts w:ascii="Times New Roman" w:hAnsi="Times New Roman" w:cs="Times New Roman"/>
          <w:sz w:val="24"/>
          <w:szCs w:val="24"/>
        </w:rPr>
        <w:br w:type="page"/>
      </w:r>
    </w:p>
    <w:p w:rsidR="002F7276" w:rsidRPr="003B38EE" w:rsidRDefault="00FB551D" w:rsidP="003B38EE">
      <w:pPr>
        <w:spacing w:line="480" w:lineRule="auto"/>
        <w:jc w:val="center"/>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lastRenderedPageBreak/>
        <w:t>Strategic and Financial Making Decision</w:t>
      </w:r>
    </w:p>
    <w:p w:rsidR="002F7276" w:rsidRPr="003B38EE" w:rsidRDefault="00FB551D" w:rsidP="003B38EE">
      <w:pPr>
        <w:spacing w:line="480" w:lineRule="auto"/>
        <w:jc w:val="center"/>
        <w:rPr>
          <w:rFonts w:ascii="Times New Roman" w:eastAsia="Times New Roman" w:hAnsi="Times New Roman" w:cs="Times New Roman"/>
          <w:b/>
          <w:sz w:val="24"/>
          <w:szCs w:val="24"/>
        </w:rPr>
      </w:pPr>
      <w:r w:rsidRPr="003B38EE">
        <w:rPr>
          <w:rFonts w:ascii="Times New Roman" w:eastAsia="Times New Roman" w:hAnsi="Times New Roman" w:cs="Times New Roman"/>
          <w:b/>
          <w:sz w:val="24"/>
          <w:szCs w:val="24"/>
        </w:rPr>
        <w:t>Task 1</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The real values of savings after inflation:</w:t>
      </w:r>
    </w:p>
    <w:p w:rsidR="0083342D" w:rsidRPr="003B38EE" w:rsidRDefault="0083342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Real value=</w:t>
      </w:r>
      <w:proofErr w:type="gramStart"/>
      <w:r w:rsidRPr="003B38EE">
        <w:rPr>
          <w:rFonts w:ascii="Times New Roman" w:eastAsia="Times New Roman" w:hAnsi="Times New Roman" w:cs="Times New Roman"/>
          <w:sz w:val="24"/>
          <w:szCs w:val="24"/>
        </w:rPr>
        <w:t>A(</w:t>
      </w:r>
      <w:proofErr w:type="gramEnd"/>
      <w:r w:rsidRPr="003B38EE">
        <w:rPr>
          <w:rFonts w:ascii="Times New Roman" w:eastAsia="Times New Roman" w:hAnsi="Times New Roman" w:cs="Times New Roman"/>
          <w:sz w:val="24"/>
          <w:szCs w:val="24"/>
        </w:rPr>
        <w:t>1+I)^n where A is the value before inflation is considered and I is the inflation rate</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4.50*(1+0.06</w:t>
      </w:r>
      <w:proofErr w:type="gramStart"/>
      <w:r w:rsidRPr="003B38EE">
        <w:rPr>
          <w:rFonts w:ascii="Times New Roman" w:eastAsia="Times New Roman" w:hAnsi="Times New Roman" w:cs="Times New Roman"/>
          <w:sz w:val="24"/>
          <w:szCs w:val="24"/>
        </w:rPr>
        <w:t>)^</w:t>
      </w:r>
      <w:proofErr w:type="gramEnd"/>
      <w:r w:rsidRPr="003B38EE">
        <w:rPr>
          <w:rFonts w:ascii="Times New Roman" w:eastAsia="Times New Roman" w:hAnsi="Times New Roman" w:cs="Times New Roman"/>
          <w:sz w:val="24"/>
          <w:szCs w:val="24"/>
        </w:rPr>
        <w:t>1=£ 4.77m</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7.00*(1+0.06</w:t>
      </w:r>
      <w:proofErr w:type="gramStart"/>
      <w:r w:rsidRPr="003B38EE">
        <w:rPr>
          <w:rFonts w:ascii="Times New Roman" w:eastAsia="Times New Roman" w:hAnsi="Times New Roman" w:cs="Times New Roman"/>
          <w:sz w:val="24"/>
          <w:szCs w:val="24"/>
        </w:rPr>
        <w:t>)^</w:t>
      </w:r>
      <w:proofErr w:type="gramEnd"/>
      <w:r w:rsidRPr="003B38EE">
        <w:rPr>
          <w:rFonts w:ascii="Times New Roman" w:eastAsia="Times New Roman" w:hAnsi="Times New Roman" w:cs="Times New Roman"/>
          <w:sz w:val="24"/>
          <w:szCs w:val="24"/>
        </w:rPr>
        <w:t>2=£ 7.8652 m</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14.00*(1+0.06</w:t>
      </w:r>
      <w:proofErr w:type="gramStart"/>
      <w:r w:rsidRPr="003B38EE">
        <w:rPr>
          <w:rFonts w:ascii="Times New Roman" w:eastAsia="Times New Roman" w:hAnsi="Times New Roman" w:cs="Times New Roman"/>
          <w:sz w:val="24"/>
          <w:szCs w:val="24"/>
        </w:rPr>
        <w:t>)^</w:t>
      </w:r>
      <w:proofErr w:type="gramEnd"/>
      <w:r w:rsidRPr="003B38EE">
        <w:rPr>
          <w:rFonts w:ascii="Times New Roman" w:eastAsia="Times New Roman" w:hAnsi="Times New Roman" w:cs="Times New Roman"/>
          <w:sz w:val="24"/>
          <w:szCs w:val="24"/>
        </w:rPr>
        <w:t>3=£ 16.674224 m</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12.40*(1+0.06</w:t>
      </w:r>
      <w:proofErr w:type="gramStart"/>
      <w:r w:rsidRPr="003B38EE">
        <w:rPr>
          <w:rFonts w:ascii="Times New Roman" w:eastAsia="Times New Roman" w:hAnsi="Times New Roman" w:cs="Times New Roman"/>
          <w:sz w:val="24"/>
          <w:szCs w:val="24"/>
        </w:rPr>
        <w:t>)^</w:t>
      </w:r>
      <w:proofErr w:type="gramEnd"/>
      <w:r w:rsidRPr="003B38EE">
        <w:rPr>
          <w:rFonts w:ascii="Times New Roman" w:eastAsia="Times New Roman" w:hAnsi="Times New Roman" w:cs="Times New Roman"/>
          <w:sz w:val="24"/>
          <w:szCs w:val="24"/>
        </w:rPr>
        <w:t>4=£ 15.6547143 m</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8.75*(1+0.06</w:t>
      </w:r>
      <w:proofErr w:type="gramStart"/>
      <w:r w:rsidRPr="003B38EE">
        <w:rPr>
          <w:rFonts w:ascii="Times New Roman" w:eastAsia="Times New Roman" w:hAnsi="Times New Roman" w:cs="Times New Roman"/>
          <w:sz w:val="24"/>
          <w:szCs w:val="24"/>
        </w:rPr>
        <w:t>)^</w:t>
      </w:r>
      <w:proofErr w:type="gramEnd"/>
      <w:r w:rsidRPr="003B38EE">
        <w:rPr>
          <w:rFonts w:ascii="Times New Roman" w:eastAsia="Times New Roman" w:hAnsi="Times New Roman" w:cs="Times New Roman"/>
          <w:sz w:val="24"/>
          <w:szCs w:val="24"/>
        </w:rPr>
        <w:t>5=£ 11.7094738 m</w:t>
      </w:r>
    </w:p>
    <w:p w:rsidR="002F7276" w:rsidRPr="003B38EE" w:rsidRDefault="002F7276" w:rsidP="003B38EE">
      <w:pPr>
        <w:spacing w:line="480" w:lineRule="auto"/>
        <w:rPr>
          <w:rFonts w:ascii="Times New Roman" w:eastAsia="Times New Roman" w:hAnsi="Times New Roman" w:cs="Times New Roman"/>
          <w:sz w:val="24"/>
          <w:szCs w:val="24"/>
        </w:rPr>
      </w:pP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The real values of cash operational outflow after inflation:</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1.50*(1+0.04) ^1=£ 1.56 m</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3.00*(1+0.04) ^2=£ 3.2448 m</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6.00*(1+0.04) ^3=£ 6.749184 m</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5.40*(1+0.04</w:t>
      </w:r>
      <w:proofErr w:type="gramStart"/>
      <w:r w:rsidRPr="003B38EE">
        <w:rPr>
          <w:rFonts w:ascii="Times New Roman" w:eastAsia="Times New Roman" w:hAnsi="Times New Roman" w:cs="Times New Roman"/>
          <w:sz w:val="24"/>
          <w:szCs w:val="24"/>
        </w:rPr>
        <w:t>)^</w:t>
      </w:r>
      <w:proofErr w:type="gramEnd"/>
      <w:r w:rsidRPr="003B38EE">
        <w:rPr>
          <w:rFonts w:ascii="Times New Roman" w:eastAsia="Times New Roman" w:hAnsi="Times New Roman" w:cs="Times New Roman"/>
          <w:sz w:val="24"/>
          <w:szCs w:val="24"/>
        </w:rPr>
        <w:t>4=£ 6.317236224 m</w:t>
      </w:r>
    </w:p>
    <w:p w:rsidR="005C0131"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3.75*(1+0.04</w:t>
      </w:r>
      <w:proofErr w:type="gramStart"/>
      <w:r w:rsidRPr="003B38EE">
        <w:rPr>
          <w:rFonts w:ascii="Times New Roman" w:eastAsia="Times New Roman" w:hAnsi="Times New Roman" w:cs="Times New Roman"/>
          <w:sz w:val="24"/>
          <w:szCs w:val="24"/>
        </w:rPr>
        <w:t>)^</w:t>
      </w:r>
      <w:proofErr w:type="gramEnd"/>
      <w:r w:rsidRPr="003B38EE">
        <w:rPr>
          <w:rFonts w:ascii="Times New Roman" w:eastAsia="Times New Roman" w:hAnsi="Times New Roman" w:cs="Times New Roman"/>
          <w:sz w:val="24"/>
          <w:szCs w:val="24"/>
        </w:rPr>
        <w:t>5=£ 4.562448384 m</w:t>
      </w:r>
    </w:p>
    <w:p w:rsidR="005C0131" w:rsidRPr="003B38EE" w:rsidRDefault="005C0131" w:rsidP="003B38EE">
      <w:pPr>
        <w:spacing w:line="480" w:lineRule="auto"/>
        <w:rPr>
          <w:rFonts w:ascii="Times New Roman" w:eastAsia="Times New Roman" w:hAnsi="Times New Roman" w:cs="Times New Roman"/>
          <w:sz w:val="24"/>
          <w:szCs w:val="24"/>
        </w:rPr>
      </w:pPr>
      <w:r w:rsidRPr="003B38EE">
        <w:rPr>
          <w:rFonts w:ascii="Times New Roman" w:hAnsi="Times New Roman" w:cs="Times New Roman"/>
          <w:b/>
          <w:bCs/>
          <w:i/>
          <w:iCs/>
          <w:sz w:val="24"/>
          <w:szCs w:val="24"/>
          <w:lang w:val="en-GB"/>
        </w:rPr>
        <w:t xml:space="preserve">NPV =∑ </w:t>
      </w:r>
      <w:proofErr w:type="gramStart"/>
      <w:r w:rsidRPr="003B38EE">
        <w:rPr>
          <w:rFonts w:ascii="Times New Roman" w:hAnsi="Times New Roman" w:cs="Times New Roman"/>
          <w:b/>
          <w:bCs/>
          <w:iCs/>
          <w:sz w:val="24"/>
          <w:szCs w:val="24"/>
          <w:lang w:val="en-GB"/>
        </w:rPr>
        <w:t>Ct(</w:t>
      </w:r>
      <w:proofErr w:type="gramEnd"/>
      <w:r w:rsidRPr="003B38EE">
        <w:rPr>
          <w:rFonts w:ascii="Times New Roman" w:hAnsi="Times New Roman" w:cs="Times New Roman"/>
          <w:b/>
          <w:bCs/>
          <w:iCs/>
          <w:sz w:val="24"/>
          <w:szCs w:val="24"/>
          <w:lang w:val="en-GB"/>
        </w:rPr>
        <w:t>1+i)^-n</w:t>
      </w:r>
    </w:p>
    <w:tbl>
      <w:tblPr>
        <w:tblStyle w:val="TableGrid"/>
        <w:tblW w:w="0" w:type="auto"/>
        <w:tblLook w:val="04A0"/>
      </w:tblPr>
      <w:tblGrid>
        <w:gridCol w:w="2337"/>
        <w:gridCol w:w="2337"/>
        <w:gridCol w:w="2338"/>
        <w:gridCol w:w="2338"/>
      </w:tblGrid>
      <w:tr w:rsidR="003B02C4" w:rsidRPr="003B38EE" w:rsidTr="003B02C4">
        <w:tc>
          <w:tcPr>
            <w:tcW w:w="2337"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lastRenderedPageBreak/>
              <w:t>YEAR</w:t>
            </w:r>
          </w:p>
        </w:tc>
        <w:tc>
          <w:tcPr>
            <w:tcW w:w="2337"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CASH FLOW(m)</w:t>
            </w:r>
          </w:p>
        </w:tc>
        <w:tc>
          <w:tcPr>
            <w:tcW w:w="2338"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DISCOUNT FACTOR (10.5%)</w:t>
            </w:r>
          </w:p>
        </w:tc>
        <w:tc>
          <w:tcPr>
            <w:tcW w:w="2338"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PRESENT VALUES</w:t>
            </w:r>
          </w:p>
        </w:tc>
      </w:tr>
      <w:tr w:rsidR="003B02C4" w:rsidRPr="003B38EE" w:rsidTr="003B02C4">
        <w:tc>
          <w:tcPr>
            <w:tcW w:w="2337"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0</w:t>
            </w:r>
          </w:p>
        </w:tc>
        <w:tc>
          <w:tcPr>
            <w:tcW w:w="2337" w:type="dxa"/>
          </w:tcPr>
          <w:p w:rsidR="003B02C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-14.5</w:t>
            </w:r>
          </w:p>
        </w:tc>
        <w:tc>
          <w:tcPr>
            <w:tcW w:w="2338" w:type="dxa"/>
          </w:tcPr>
          <w:p w:rsidR="003B02C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w:t>
            </w:r>
          </w:p>
        </w:tc>
        <w:tc>
          <w:tcPr>
            <w:tcW w:w="2338" w:type="dxa"/>
          </w:tcPr>
          <w:p w:rsidR="003B02C4"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-14.5</w:t>
            </w:r>
          </w:p>
        </w:tc>
      </w:tr>
      <w:tr w:rsidR="003B02C4" w:rsidRPr="003B38EE" w:rsidTr="003B02C4">
        <w:tc>
          <w:tcPr>
            <w:tcW w:w="2337"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w:t>
            </w:r>
          </w:p>
        </w:tc>
        <w:tc>
          <w:tcPr>
            <w:tcW w:w="2337" w:type="dxa"/>
          </w:tcPr>
          <w:p w:rsidR="003B02C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+4.77</w:t>
            </w:r>
          </w:p>
          <w:p w:rsidR="00D8769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-1.56</w:t>
            </w:r>
          </w:p>
        </w:tc>
        <w:tc>
          <w:tcPr>
            <w:tcW w:w="2338" w:type="dxa"/>
          </w:tcPr>
          <w:p w:rsidR="003B02C4" w:rsidRPr="003B38EE" w:rsidRDefault="0012617C"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0.904977375</w:t>
            </w:r>
          </w:p>
        </w:tc>
        <w:tc>
          <w:tcPr>
            <w:tcW w:w="2338" w:type="dxa"/>
          </w:tcPr>
          <w:p w:rsidR="003B02C4" w:rsidRPr="003B38EE" w:rsidRDefault="0012617C"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4.316742081</w:t>
            </w:r>
          </w:p>
          <w:p w:rsidR="0012617C"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w:t>
            </w:r>
            <w:r w:rsidR="0012617C" w:rsidRPr="003B38EE">
              <w:rPr>
                <w:rFonts w:ascii="Times New Roman" w:eastAsia="Times New Roman" w:hAnsi="Times New Roman" w:cs="Times New Roman"/>
                <w:sz w:val="24"/>
                <w:szCs w:val="24"/>
              </w:rPr>
              <w:t>1.411764706</w:t>
            </w:r>
          </w:p>
        </w:tc>
      </w:tr>
      <w:tr w:rsidR="003B02C4" w:rsidRPr="003B38EE" w:rsidTr="003B02C4">
        <w:tc>
          <w:tcPr>
            <w:tcW w:w="2337"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2</w:t>
            </w:r>
          </w:p>
        </w:tc>
        <w:tc>
          <w:tcPr>
            <w:tcW w:w="2337" w:type="dxa"/>
          </w:tcPr>
          <w:p w:rsidR="003B02C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7.8652</w:t>
            </w:r>
          </w:p>
          <w:p w:rsidR="00D8769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-3.2448</w:t>
            </w:r>
          </w:p>
        </w:tc>
        <w:tc>
          <w:tcPr>
            <w:tcW w:w="2338" w:type="dxa"/>
          </w:tcPr>
          <w:p w:rsidR="003B02C4" w:rsidRPr="003B38EE" w:rsidRDefault="0012617C"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0.81898405</w:t>
            </w:r>
          </w:p>
        </w:tc>
        <w:tc>
          <w:tcPr>
            <w:tcW w:w="2338" w:type="dxa"/>
          </w:tcPr>
          <w:p w:rsidR="003B02C4" w:rsidRPr="003B38EE" w:rsidRDefault="0012617C"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6.441473352</w:t>
            </w:r>
          </w:p>
          <w:p w:rsidR="0012617C" w:rsidRPr="003B38EE" w:rsidRDefault="0012617C"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-2.657439446</w:t>
            </w:r>
          </w:p>
        </w:tc>
      </w:tr>
      <w:tr w:rsidR="003B02C4" w:rsidRPr="003B38EE" w:rsidTr="003B02C4">
        <w:tc>
          <w:tcPr>
            <w:tcW w:w="2337"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3</w:t>
            </w:r>
          </w:p>
        </w:tc>
        <w:tc>
          <w:tcPr>
            <w:tcW w:w="2337" w:type="dxa"/>
          </w:tcPr>
          <w:p w:rsidR="003B02C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+16.674224</w:t>
            </w:r>
          </w:p>
          <w:p w:rsidR="00D8769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-6.749184</w:t>
            </w:r>
          </w:p>
        </w:tc>
        <w:tc>
          <w:tcPr>
            <w:tcW w:w="2338" w:type="dxa"/>
          </w:tcPr>
          <w:p w:rsidR="003B02C4" w:rsidRPr="003B38EE" w:rsidRDefault="0012617C"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0,741162036</w:t>
            </w:r>
          </w:p>
        </w:tc>
        <w:tc>
          <w:tcPr>
            <w:tcW w:w="2338" w:type="dxa"/>
          </w:tcPr>
          <w:p w:rsidR="003B02C4" w:rsidRPr="003B38EE" w:rsidRDefault="0012617C"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12.35830182</w:t>
            </w:r>
          </w:p>
          <w:p w:rsidR="0012617C" w:rsidRPr="003B38EE" w:rsidRDefault="0012617C"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w:t>
            </w:r>
            <w:r w:rsidR="00857974" w:rsidRPr="003B38EE">
              <w:rPr>
                <w:rFonts w:ascii="Times New Roman" w:eastAsia="Times New Roman" w:hAnsi="Times New Roman" w:cs="Times New Roman"/>
                <w:sz w:val="24"/>
                <w:szCs w:val="24"/>
              </w:rPr>
              <w:t>5.002238958</w:t>
            </w:r>
          </w:p>
        </w:tc>
      </w:tr>
      <w:tr w:rsidR="003B02C4" w:rsidRPr="003B38EE" w:rsidTr="003B02C4">
        <w:tc>
          <w:tcPr>
            <w:tcW w:w="2337"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4</w:t>
            </w:r>
          </w:p>
        </w:tc>
        <w:tc>
          <w:tcPr>
            <w:tcW w:w="2337" w:type="dxa"/>
          </w:tcPr>
          <w:p w:rsidR="003B02C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+15.6547143</w:t>
            </w:r>
          </w:p>
          <w:p w:rsidR="00D8769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-6.317236224</w:t>
            </w:r>
          </w:p>
        </w:tc>
        <w:tc>
          <w:tcPr>
            <w:tcW w:w="2338" w:type="dxa"/>
          </w:tcPr>
          <w:p w:rsidR="003B02C4"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0.670734874</w:t>
            </w:r>
          </w:p>
        </w:tc>
        <w:tc>
          <w:tcPr>
            <w:tcW w:w="2338" w:type="dxa"/>
          </w:tcPr>
          <w:p w:rsidR="003B02C4"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10,50016283</w:t>
            </w:r>
          </w:p>
          <w:p w:rsidR="00857974"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-4.237190657</w:t>
            </w:r>
          </w:p>
        </w:tc>
      </w:tr>
      <w:tr w:rsidR="003B02C4" w:rsidRPr="003B38EE" w:rsidTr="003B02C4">
        <w:tc>
          <w:tcPr>
            <w:tcW w:w="2337" w:type="dxa"/>
          </w:tcPr>
          <w:p w:rsidR="003B02C4" w:rsidRPr="003B38EE" w:rsidRDefault="003B02C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5</w:t>
            </w:r>
          </w:p>
        </w:tc>
        <w:tc>
          <w:tcPr>
            <w:tcW w:w="2337" w:type="dxa"/>
          </w:tcPr>
          <w:p w:rsidR="003B02C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+11.7094738</w:t>
            </w:r>
          </w:p>
          <w:p w:rsidR="00D87694" w:rsidRPr="003B38EE" w:rsidRDefault="00D8769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-4,563446384</w:t>
            </w:r>
          </w:p>
        </w:tc>
        <w:tc>
          <w:tcPr>
            <w:tcW w:w="2338" w:type="dxa"/>
          </w:tcPr>
          <w:p w:rsidR="003B02C4"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0,6069999886</w:t>
            </w:r>
          </w:p>
        </w:tc>
        <w:tc>
          <w:tcPr>
            <w:tcW w:w="2338" w:type="dxa"/>
          </w:tcPr>
          <w:p w:rsidR="003B02C4"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7.107649268</w:t>
            </w:r>
          </w:p>
          <w:p w:rsidR="00857974"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-2.76974</w:t>
            </w:r>
          </w:p>
        </w:tc>
      </w:tr>
      <w:tr w:rsidR="00E54F99" w:rsidRPr="003B38EE" w:rsidTr="003B02C4">
        <w:tc>
          <w:tcPr>
            <w:tcW w:w="2337" w:type="dxa"/>
          </w:tcPr>
          <w:p w:rsidR="00E54F99" w:rsidRPr="003B38EE" w:rsidRDefault="00E54F99" w:rsidP="003B38EE">
            <w:pPr>
              <w:spacing w:line="480" w:lineRule="auto"/>
              <w:rPr>
                <w:rFonts w:ascii="Times New Roman" w:eastAsia="Times New Roman" w:hAnsi="Times New Roman" w:cs="Times New Roman"/>
                <w:sz w:val="24"/>
                <w:szCs w:val="24"/>
              </w:rPr>
            </w:pPr>
          </w:p>
        </w:tc>
        <w:tc>
          <w:tcPr>
            <w:tcW w:w="2337" w:type="dxa"/>
          </w:tcPr>
          <w:p w:rsidR="00E54F99" w:rsidRPr="003B38EE" w:rsidRDefault="00E54F99" w:rsidP="003B38EE">
            <w:pPr>
              <w:spacing w:line="480" w:lineRule="auto"/>
              <w:rPr>
                <w:rFonts w:ascii="Times New Roman" w:eastAsia="Times New Roman" w:hAnsi="Times New Roman" w:cs="Times New Roman"/>
                <w:sz w:val="24"/>
                <w:szCs w:val="24"/>
              </w:rPr>
            </w:pPr>
          </w:p>
        </w:tc>
        <w:tc>
          <w:tcPr>
            <w:tcW w:w="2338" w:type="dxa"/>
          </w:tcPr>
          <w:p w:rsidR="00E54F99" w:rsidRPr="003B38EE" w:rsidRDefault="00E54F99"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NPV</w:t>
            </w:r>
          </w:p>
        </w:tc>
        <w:tc>
          <w:tcPr>
            <w:tcW w:w="2338" w:type="dxa"/>
          </w:tcPr>
          <w:p w:rsidR="00E54F99" w:rsidRPr="003B38EE" w:rsidRDefault="00E54F99"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=£ 9.241317558 m</w:t>
            </w:r>
          </w:p>
        </w:tc>
      </w:tr>
    </w:tbl>
    <w:p w:rsidR="003B02C4" w:rsidRPr="003B38EE" w:rsidRDefault="003B02C4" w:rsidP="003B38EE">
      <w:pPr>
        <w:spacing w:line="480" w:lineRule="auto"/>
        <w:rPr>
          <w:rFonts w:ascii="Times New Roman" w:eastAsia="Times New Roman" w:hAnsi="Times New Roman" w:cs="Times New Roman"/>
          <w:sz w:val="24"/>
          <w:szCs w:val="24"/>
        </w:rPr>
      </w:pPr>
    </w:p>
    <w:p w:rsidR="00857974"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Summing all the present values to get the NPV;</w:t>
      </w:r>
    </w:p>
    <w:p w:rsidR="00EB2176" w:rsidRPr="003B38EE" w:rsidRDefault="00857974"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-14.5+4.316742081-1.411764706+6.441473352</w:t>
      </w:r>
      <w:r w:rsidR="00EB2176" w:rsidRPr="003B38EE">
        <w:rPr>
          <w:rFonts w:ascii="Times New Roman" w:eastAsia="Times New Roman" w:hAnsi="Times New Roman" w:cs="Times New Roman"/>
          <w:sz w:val="24"/>
          <w:szCs w:val="24"/>
        </w:rPr>
        <w:t>-2.657439446+12.35830182-5.002238958+10</w:t>
      </w:r>
      <w:proofErr w:type="gramStart"/>
      <w:r w:rsidR="00EB2176" w:rsidRPr="003B38EE">
        <w:rPr>
          <w:rFonts w:ascii="Times New Roman" w:eastAsia="Times New Roman" w:hAnsi="Times New Roman" w:cs="Times New Roman"/>
          <w:sz w:val="24"/>
          <w:szCs w:val="24"/>
        </w:rPr>
        <w:t>,50016283</w:t>
      </w:r>
      <w:proofErr w:type="gramEnd"/>
      <w:r w:rsidR="00EB2176" w:rsidRPr="003B38EE">
        <w:rPr>
          <w:rFonts w:ascii="Times New Roman" w:eastAsia="Times New Roman" w:hAnsi="Times New Roman" w:cs="Times New Roman"/>
          <w:sz w:val="24"/>
          <w:szCs w:val="24"/>
        </w:rPr>
        <w:t>-4</w:t>
      </w:r>
      <w:r w:rsidR="003B38EE">
        <w:rPr>
          <w:rFonts w:ascii="Times New Roman" w:eastAsia="Times New Roman" w:hAnsi="Times New Roman" w:cs="Times New Roman"/>
          <w:sz w:val="24"/>
          <w:szCs w:val="24"/>
        </w:rPr>
        <w:t xml:space="preserve">.237190657+7.107649268-2.76974= </w:t>
      </w:r>
      <w:r w:rsidR="00EB2176" w:rsidRPr="003B38EE">
        <w:rPr>
          <w:rFonts w:ascii="Times New Roman" w:eastAsia="Times New Roman" w:hAnsi="Times New Roman" w:cs="Times New Roman"/>
          <w:sz w:val="24"/>
          <w:szCs w:val="24"/>
        </w:rPr>
        <w:t>£ 9.241317558 m</w:t>
      </w:r>
    </w:p>
    <w:p w:rsidR="00EB2176" w:rsidRPr="003B38EE" w:rsidRDefault="00EB2176" w:rsidP="003B38EE">
      <w:pPr>
        <w:spacing w:before="240"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After taxation NPV=9.241317558*0.72= £ 6.653748642</w:t>
      </w:r>
    </w:p>
    <w:p w:rsidR="00EB2176" w:rsidRPr="003B38EE" w:rsidRDefault="00EB2176" w:rsidP="003B38EE">
      <w:pPr>
        <w:spacing w:line="480" w:lineRule="auto"/>
        <w:rPr>
          <w:rFonts w:ascii="Times New Roman" w:eastAsia="Times New Roman" w:hAnsi="Times New Roman" w:cs="Times New Roman"/>
          <w:sz w:val="24"/>
          <w:szCs w:val="24"/>
        </w:rPr>
      </w:pPr>
    </w:p>
    <w:p w:rsidR="00EB2176" w:rsidRPr="003B38EE" w:rsidRDefault="00EB2176" w:rsidP="003B38EE">
      <w:pPr>
        <w:spacing w:before="240" w:line="480" w:lineRule="auto"/>
        <w:rPr>
          <w:rFonts w:ascii="Times New Roman" w:eastAsia="Times New Roman" w:hAnsi="Times New Roman" w:cs="Times New Roman"/>
          <w:b/>
          <w:sz w:val="24"/>
          <w:szCs w:val="24"/>
        </w:rPr>
      </w:pPr>
      <w:r w:rsidRPr="003B38EE">
        <w:rPr>
          <w:rFonts w:ascii="Times New Roman" w:eastAsia="Times New Roman" w:hAnsi="Times New Roman" w:cs="Times New Roman"/>
          <w:b/>
          <w:sz w:val="24"/>
          <w:szCs w:val="24"/>
        </w:rPr>
        <w:t>ALTERNATIVELY,</w:t>
      </w:r>
    </w:p>
    <w:p w:rsidR="00E65F3B" w:rsidRPr="003B38EE" w:rsidRDefault="00FB551D" w:rsidP="003B38EE">
      <w:pPr>
        <w:spacing w:before="240" w:line="480" w:lineRule="auto"/>
        <w:rPr>
          <w:rFonts w:ascii="Times New Roman" w:eastAsia="Times New Roman" w:hAnsi="Times New Roman" w:cs="Times New Roman"/>
          <w:b/>
          <w:sz w:val="24"/>
          <w:szCs w:val="24"/>
        </w:rPr>
      </w:pPr>
      <w:r w:rsidRPr="003B38EE">
        <w:rPr>
          <w:rFonts w:ascii="Times New Roman" w:eastAsia="Times New Roman" w:hAnsi="Times New Roman" w:cs="Times New Roman"/>
          <w:sz w:val="24"/>
          <w:szCs w:val="24"/>
        </w:rPr>
        <w:lastRenderedPageBreak/>
        <w:t>NPV=</w:t>
      </w:r>
      <w:r w:rsidR="00E65F3B" w:rsidRPr="003B38EE">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4.77</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1</m:t>
                </m:r>
              </m:sup>
            </m:sSup>
          </m:den>
        </m:f>
      </m:oMath>
      <w:r w:rsidR="00E65F3B"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m:rPr>
                <m:sty m:val="p"/>
              </m:rPr>
              <w:rPr>
                <w:rFonts w:ascii="Cambria Math" w:eastAsia="Times New Roman" w:hAnsi="Times New Roman" w:cs="Times New Roman"/>
                <w:sz w:val="24"/>
                <w:szCs w:val="24"/>
              </w:rPr>
              <m:t>7.8652</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2</m:t>
                </m:r>
              </m:sup>
            </m:sSup>
          </m:den>
        </m:f>
      </m:oMath>
      <w:r w:rsidR="00E65F3B"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16.674224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3</m:t>
                </m:r>
              </m:sup>
            </m:sSup>
          </m:den>
        </m:f>
      </m:oMath>
      <w:r w:rsidR="00E65F3B"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15.6547143</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4</m:t>
                </m:r>
              </m:sup>
            </m:sSup>
          </m:den>
        </m:f>
      </m:oMath>
      <w:r w:rsidR="00E65F3B"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11.7094738</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5</m:t>
                </m:r>
              </m:sup>
            </m:sSup>
          </m:den>
        </m:f>
      </m:oMath>
      <w:r w:rsidR="000C493E"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11</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1</m:t>
                </m:r>
              </m:sup>
            </m:sSup>
          </m:den>
        </m:f>
      </m:oMath>
      <w:r w:rsidR="000C493E"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1.56</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1</m:t>
                </m:r>
              </m:sup>
            </m:sSup>
          </m:den>
        </m:f>
      </m:oMath>
      <w:r w:rsidR="000C493E" w:rsidRPr="003B38EE">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3.2448</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2</m:t>
                </m:r>
              </m:sup>
            </m:sSup>
          </m:den>
        </m:f>
      </m:oMath>
      <w:r w:rsidR="000C493E" w:rsidRPr="003B38EE">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6.749184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3</m:t>
                </m:r>
              </m:sup>
            </m:sSup>
          </m:den>
        </m:f>
      </m:oMath>
      <w:r w:rsidR="000C493E"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6.3172362241</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4</m:t>
                </m:r>
              </m:sup>
            </m:sSup>
          </m:den>
        </m:f>
      </m:oMath>
      <w:r w:rsidR="000C493E"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4.562448384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1.105</m:t>
                </m:r>
              </m:e>
              <m:sup>
                <m:r>
                  <w:rPr>
                    <w:rFonts w:ascii="Cambria Math" w:eastAsia="Times New Roman" w:hAnsi="Times New Roman" w:cs="Times New Roman"/>
                    <w:sz w:val="24"/>
                    <w:szCs w:val="24"/>
                  </w:rPr>
                  <m:t>5</m:t>
                </m:r>
              </m:sup>
            </m:sSup>
          </m:den>
        </m:f>
      </m:oMath>
      <w:r w:rsidR="00857974" w:rsidRPr="003B38EE">
        <w:rPr>
          <w:rFonts w:ascii="Times New Roman" w:eastAsia="Times New Roman" w:hAnsi="Times New Roman" w:cs="Times New Roman"/>
          <w:sz w:val="24"/>
          <w:szCs w:val="24"/>
        </w:rPr>
        <w:t>-14.5</w:t>
      </w:r>
    </w:p>
    <w:p w:rsidR="002F7276" w:rsidRPr="003B38EE" w:rsidRDefault="002F7276" w:rsidP="003B38EE">
      <w:pPr>
        <w:spacing w:line="480" w:lineRule="auto"/>
        <w:rPr>
          <w:rFonts w:ascii="Times New Roman" w:eastAsia="Times New Roman" w:hAnsi="Times New Roman" w:cs="Times New Roman"/>
          <w:sz w:val="24"/>
          <w:szCs w:val="24"/>
        </w:rPr>
      </w:pP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=£ 9.241317558 m</w:t>
      </w:r>
    </w:p>
    <w:p w:rsidR="002F7276" w:rsidRPr="003B38EE" w:rsidRDefault="00FB551D" w:rsidP="003B38EE">
      <w:pPr>
        <w:spacing w:before="240"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After taxation NPV=9.241317558*0.72= £ 6.653748642</w:t>
      </w:r>
    </w:p>
    <w:p w:rsidR="002F7276" w:rsidRPr="003B38EE" w:rsidRDefault="00FB551D" w:rsidP="003B38EE">
      <w:pPr>
        <w:spacing w:before="240"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The internal rate of return</w:t>
      </w:r>
    </w:p>
    <w:p w:rsidR="005C0131" w:rsidRPr="003B38EE" w:rsidRDefault="005C0131" w:rsidP="003B38EE">
      <w:pPr>
        <w:autoSpaceDE w:val="0"/>
        <w:autoSpaceDN w:val="0"/>
        <w:adjustRightInd w:val="0"/>
        <w:spacing w:after="0" w:line="480" w:lineRule="auto"/>
        <w:rPr>
          <w:rFonts w:ascii="Times New Roman" w:hAnsi="Times New Roman" w:cs="Times New Roman"/>
          <w:sz w:val="24"/>
          <w:szCs w:val="24"/>
          <w:lang w:val="en-GB"/>
        </w:rPr>
      </w:pPr>
      <w:r w:rsidRPr="003B38EE">
        <w:rPr>
          <w:rFonts w:ascii="Times New Roman" w:hAnsi="Times New Roman" w:cs="Times New Roman"/>
          <w:sz w:val="24"/>
          <w:szCs w:val="24"/>
          <w:lang w:val="en-GB"/>
        </w:rPr>
        <w:t>The internal rate of return for an investment project is the effective rate of interest that</w:t>
      </w:r>
    </w:p>
    <w:p w:rsidR="005C0131" w:rsidRPr="003B38EE" w:rsidRDefault="005C0131" w:rsidP="003B38EE">
      <w:pPr>
        <w:autoSpaceDE w:val="0"/>
        <w:autoSpaceDN w:val="0"/>
        <w:adjustRightInd w:val="0"/>
        <w:spacing w:after="0" w:line="480" w:lineRule="auto"/>
        <w:rPr>
          <w:rFonts w:ascii="Times New Roman" w:hAnsi="Times New Roman" w:cs="Times New Roman"/>
          <w:sz w:val="24"/>
          <w:szCs w:val="24"/>
          <w:lang w:val="en-GB"/>
        </w:rPr>
      </w:pPr>
      <w:proofErr w:type="gramStart"/>
      <w:r w:rsidRPr="003B38EE">
        <w:rPr>
          <w:rFonts w:ascii="Times New Roman" w:hAnsi="Times New Roman" w:cs="Times New Roman"/>
          <w:sz w:val="24"/>
          <w:szCs w:val="24"/>
          <w:lang w:val="en-GB"/>
        </w:rPr>
        <w:t>equates</w:t>
      </w:r>
      <w:proofErr w:type="gramEnd"/>
      <w:r w:rsidRPr="003B38EE">
        <w:rPr>
          <w:rFonts w:ascii="Times New Roman" w:hAnsi="Times New Roman" w:cs="Times New Roman"/>
          <w:sz w:val="24"/>
          <w:szCs w:val="24"/>
          <w:lang w:val="en-GB"/>
        </w:rPr>
        <w:t xml:space="preserve"> the present value of income and outgo, </w:t>
      </w:r>
      <w:r w:rsidRPr="003B38EE">
        <w:rPr>
          <w:rFonts w:ascii="Times New Roman" w:hAnsi="Times New Roman" w:cs="Times New Roman"/>
          <w:iCs/>
          <w:sz w:val="24"/>
          <w:szCs w:val="24"/>
          <w:lang w:val="en-GB"/>
        </w:rPr>
        <w:t xml:space="preserve">that is </w:t>
      </w:r>
      <w:r w:rsidRPr="003B38EE">
        <w:rPr>
          <w:rFonts w:ascii="Times New Roman" w:hAnsi="Times New Roman" w:cs="Times New Roman"/>
          <w:sz w:val="24"/>
          <w:szCs w:val="24"/>
          <w:lang w:val="en-GB"/>
        </w:rPr>
        <w:t>it makes the net present value of the</w:t>
      </w:r>
    </w:p>
    <w:p w:rsidR="005C0131" w:rsidRPr="003B38EE" w:rsidRDefault="005C0131" w:rsidP="003B38EE">
      <w:pPr>
        <w:spacing w:before="240" w:line="480" w:lineRule="auto"/>
        <w:rPr>
          <w:rFonts w:ascii="Times New Roman" w:eastAsia="Times New Roman" w:hAnsi="Times New Roman" w:cs="Times New Roman"/>
          <w:sz w:val="24"/>
          <w:szCs w:val="24"/>
        </w:rPr>
      </w:pPr>
      <w:proofErr w:type="gramStart"/>
      <w:r w:rsidRPr="003B38EE">
        <w:rPr>
          <w:rFonts w:ascii="Times New Roman" w:hAnsi="Times New Roman" w:cs="Times New Roman"/>
          <w:sz w:val="24"/>
          <w:szCs w:val="24"/>
          <w:lang w:val="en-GB"/>
        </w:rPr>
        <w:t>cashflows</w:t>
      </w:r>
      <w:proofErr w:type="gramEnd"/>
      <w:r w:rsidRPr="003B38EE">
        <w:rPr>
          <w:rFonts w:ascii="Times New Roman" w:hAnsi="Times New Roman" w:cs="Times New Roman"/>
          <w:sz w:val="24"/>
          <w:szCs w:val="24"/>
          <w:lang w:val="en-GB"/>
        </w:rPr>
        <w:t xml:space="preserve"> equal to zero.</w:t>
      </w:r>
    </w:p>
    <w:p w:rsidR="002F7276" w:rsidRPr="003B38EE" w:rsidRDefault="000C493E"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4.77</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m:t>
                </m:r>
              </m:e>
              <m:sup>
                <m:r>
                  <w:rPr>
                    <w:rFonts w:ascii="Cambria Math" w:eastAsia="Times New Roman" w:hAnsi="Times New Roman" w:cs="Times New Roman"/>
                    <w:sz w:val="24"/>
                    <w:szCs w:val="24"/>
                  </w:rPr>
                  <m:t>1</m:t>
                </m:r>
              </m:sup>
            </m:sSup>
          </m:den>
        </m:f>
      </m:oMath>
      <w:r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m:rPr>
                <m:sty m:val="p"/>
              </m:rPr>
              <w:rPr>
                <w:rFonts w:ascii="Cambria Math" w:eastAsia="Times New Roman" w:hAnsi="Times New Roman" w:cs="Times New Roman"/>
                <w:sz w:val="24"/>
                <w:szCs w:val="24"/>
              </w:rPr>
              <m:t>7.8652</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m:t>
                </m:r>
              </m:e>
              <m:sup>
                <m:r>
                  <w:rPr>
                    <w:rFonts w:ascii="Cambria Math" w:eastAsia="Times New Roman" w:hAnsi="Times New Roman" w:cs="Times New Roman"/>
                    <w:sz w:val="24"/>
                    <w:szCs w:val="24"/>
                  </w:rPr>
                  <m:t>2</m:t>
                </m:r>
              </m:sup>
            </m:sSup>
          </m:den>
        </m:f>
      </m:oMath>
      <w:r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16.674224</m:t>
            </m:r>
          </m:num>
          <m:den>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)^3</m:t>
            </m:r>
          </m:den>
        </m:f>
      </m:oMath>
      <w:r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15.6547143</m:t>
            </m:r>
          </m:num>
          <m:den>
            <m:r>
              <w:rPr>
                <w:rFonts w:ascii="Cambria Math" w:eastAsia="Times New Roman" w:hAnsi="Times New Roman" w:cs="Times New Roman"/>
                <w:sz w:val="24"/>
                <w:szCs w:val="24"/>
              </w:rPr>
              <m:t>(</m:t>
            </m:r>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m:t>
                </m:r>
                <m:r>
                  <w:rPr>
                    <w:rFonts w:ascii="Cambria Math" w:eastAsia="Times New Roman" w:hAnsi="Cambria Math" w:cs="Times New Roman"/>
                    <w:sz w:val="24"/>
                    <w:szCs w:val="24"/>
                  </w:rPr>
                  <m:t>i</m:t>
                </m:r>
              </m:e>
              <m:sup>
                <m:r>
                  <w:rPr>
                    <w:rFonts w:ascii="Cambria Math" w:eastAsia="Times New Roman" w:hAnsi="Times New Roman" w:cs="Times New Roman"/>
                    <w:sz w:val="24"/>
                    <w:szCs w:val="24"/>
                  </w:rPr>
                  <m:t>4</m:t>
                </m:r>
              </m:sup>
            </m:sSup>
          </m:den>
        </m:f>
      </m:oMath>
      <w:r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11.7094738</m:t>
            </m:r>
          </m:num>
          <m:den>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m:t>
            </m:r>
          </m:den>
        </m:f>
      </m:oMath>
      <w:r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11</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m:t>
                </m:r>
              </m:e>
              <m:sup>
                <m:r>
                  <w:rPr>
                    <w:rFonts w:ascii="Cambria Math" w:eastAsia="Times New Roman" w:hAnsi="Times New Roman" w:cs="Times New Roman"/>
                    <w:sz w:val="24"/>
                    <w:szCs w:val="24"/>
                  </w:rPr>
                  <m:t>1</m:t>
                </m:r>
              </m:sup>
            </m:sSup>
          </m:den>
        </m:f>
      </m:oMath>
      <w:r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1.56</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m:t>
                </m:r>
              </m:e>
              <m:sup>
                <m:r>
                  <w:rPr>
                    <w:rFonts w:ascii="Cambria Math" w:eastAsia="Times New Roman" w:hAnsi="Times New Roman" w:cs="Times New Roman"/>
                    <w:sz w:val="24"/>
                    <w:szCs w:val="24"/>
                  </w:rPr>
                  <m:t>1</m:t>
                </m:r>
              </m:sup>
            </m:sSup>
          </m:den>
        </m:f>
      </m:oMath>
      <w:r w:rsidRPr="003B38EE">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3.2448</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m:t>
                </m:r>
              </m:e>
              <m:sup>
                <m:r>
                  <w:rPr>
                    <w:rFonts w:ascii="Cambria Math" w:eastAsia="Times New Roman" w:hAnsi="Times New Roman" w:cs="Times New Roman"/>
                    <w:sz w:val="24"/>
                    <w:szCs w:val="24"/>
                  </w:rPr>
                  <m:t>2</m:t>
                </m:r>
              </m:sup>
            </m:sSup>
          </m:den>
        </m:f>
      </m:oMath>
      <w:r w:rsidRPr="003B38EE">
        <w:rPr>
          <w:rFonts w:ascii="Times New Roman" w:eastAsia="Times New Roman" w:hAnsi="Times New Roman" w:cs="Times New Roman"/>
          <w:sz w:val="24"/>
          <w:szCs w:val="24"/>
        </w:rPr>
        <w:t xml:space="preserve">- </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6.749184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m:t>
                </m:r>
              </m:e>
              <m:sup>
                <m:r>
                  <w:rPr>
                    <w:rFonts w:ascii="Cambria Math" w:eastAsia="Times New Roman" w:hAnsi="Times New Roman" w:cs="Times New Roman"/>
                    <w:sz w:val="24"/>
                    <w:szCs w:val="24"/>
                  </w:rPr>
                  <m:t>3</m:t>
                </m:r>
              </m:sup>
            </m:sSup>
          </m:den>
        </m:f>
      </m:oMath>
      <w:r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6.3172362241</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m:t>
                </m:r>
              </m:e>
              <m:sup>
                <m:r>
                  <w:rPr>
                    <w:rFonts w:ascii="Cambria Math" w:eastAsia="Times New Roman" w:hAnsi="Times New Roman" w:cs="Times New Roman"/>
                    <w:sz w:val="24"/>
                    <w:szCs w:val="24"/>
                  </w:rPr>
                  <m:t>4</m:t>
                </m:r>
              </m:sup>
            </m:sSup>
          </m:den>
        </m:f>
      </m:oMath>
      <w:r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4.562448384</m:t>
            </m:r>
          </m:num>
          <m:den>
            <m:sSup>
              <m:sSupPr>
                <m:ctrlPr>
                  <w:rPr>
                    <w:rFonts w:ascii="Cambria Math" w:eastAsia="Times New Roman" w:hAnsi="Times New Roman" w:cs="Times New Roman"/>
                    <w:i/>
                    <w:sz w:val="24"/>
                    <w:szCs w:val="24"/>
                  </w:rPr>
                </m:ctrlPr>
              </m:sSupPr>
              <m:e>
                <m:r>
                  <w:rPr>
                    <w:rFonts w:ascii="Cambria Math" w:eastAsia="Times New Roman" w:hAnsi="Times New Roman" w:cs="Times New Roman"/>
                    <w:sz w:val="24"/>
                    <w:szCs w:val="24"/>
                  </w:rPr>
                  <m:t>(1+</m:t>
                </m:r>
                <m:r>
                  <w:rPr>
                    <w:rFonts w:ascii="Cambria Math" w:eastAsia="Times New Roman" w:hAnsi="Cambria Math" w:cs="Times New Roman"/>
                    <w:sz w:val="24"/>
                    <w:szCs w:val="24"/>
                  </w:rPr>
                  <m:t>I</m:t>
                </m:r>
                <m:r>
                  <w:rPr>
                    <w:rFonts w:ascii="Cambria Math" w:eastAsia="Times New Roman" w:hAnsi="Times New Roman" w:cs="Times New Roman"/>
                    <w:sz w:val="24"/>
                    <w:szCs w:val="24"/>
                  </w:rPr>
                  <m:t>)</m:t>
                </m:r>
              </m:e>
              <m:sup>
                <m:r>
                  <w:rPr>
                    <w:rFonts w:ascii="Cambria Math" w:eastAsia="Times New Roman" w:hAnsi="Times New Roman" w:cs="Times New Roman"/>
                    <w:sz w:val="24"/>
                    <w:szCs w:val="24"/>
                  </w:rPr>
                  <m:t>5</m:t>
                </m:r>
              </m:sup>
            </m:sSup>
          </m:den>
        </m:f>
      </m:oMath>
      <w:r w:rsidR="00E54F99" w:rsidRPr="003B38EE">
        <w:rPr>
          <w:rFonts w:ascii="Times New Roman" w:eastAsia="Times New Roman" w:hAnsi="Times New Roman" w:cs="Times New Roman"/>
          <w:sz w:val="24"/>
          <w:szCs w:val="24"/>
        </w:rPr>
        <w:t>-14.5=</w:t>
      </w:r>
      <w:r w:rsidRPr="003B38EE">
        <w:rPr>
          <w:rFonts w:ascii="Times New Roman" w:eastAsia="Times New Roman" w:hAnsi="Times New Roman" w:cs="Times New Roman"/>
          <w:sz w:val="24"/>
          <w:szCs w:val="24"/>
        </w:rPr>
        <w:t>0</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xml:space="preserve">Finding </w:t>
      </w:r>
      <w:proofErr w:type="spellStart"/>
      <w:r w:rsidRPr="003B38EE">
        <w:rPr>
          <w:rFonts w:ascii="Times New Roman" w:eastAsia="Times New Roman" w:hAnsi="Times New Roman" w:cs="Times New Roman"/>
          <w:sz w:val="24"/>
          <w:szCs w:val="24"/>
        </w:rPr>
        <w:t>i</w:t>
      </w:r>
      <w:proofErr w:type="spellEnd"/>
      <w:r w:rsidRPr="003B38EE">
        <w:rPr>
          <w:rFonts w:ascii="Times New Roman" w:eastAsia="Times New Roman" w:hAnsi="Times New Roman" w:cs="Times New Roman"/>
          <w:sz w:val="24"/>
          <w:szCs w:val="24"/>
        </w:rPr>
        <w:t xml:space="preserve"> in the equation</w:t>
      </w:r>
    </w:p>
    <w:p w:rsidR="002F7276" w:rsidRPr="003B38EE" w:rsidRDefault="00FB551D"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5%=2.43358</w:t>
      </w:r>
    </w:p>
    <w:p w:rsidR="002F7276" w:rsidRPr="003B38EE" w:rsidRDefault="00FB551D" w:rsidP="003B38EE">
      <w:pPr>
        <w:spacing w:before="240"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4%= -1.4368</w:t>
      </w:r>
    </w:p>
    <w:p w:rsidR="002F7276" w:rsidRPr="003B38EE" w:rsidRDefault="002E303C" w:rsidP="003B38EE">
      <w:pPr>
        <w:spacing w:before="240" w:line="480" w:lineRule="auto"/>
        <w:rPr>
          <w:rFonts w:ascii="Times New Roman" w:eastAsia="Times New Roman" w:hAnsi="Times New Roman" w:cs="Times New Roman"/>
          <w:sz w:val="24"/>
          <w:szCs w:val="24"/>
        </w:rPr>
      </w:pPr>
      <m:oMath>
        <m:f>
          <m:fPr>
            <m:ctrlPr>
              <w:rPr>
                <w:rFonts w:ascii="Cambria Math" w:eastAsia="Times New Roman" w:hAnsi="Times New Roman" w:cs="Times New Roman"/>
                <w:i/>
                <w:sz w:val="24"/>
                <w:szCs w:val="24"/>
              </w:rPr>
            </m:ctrlPr>
          </m:fPr>
          <m:num>
            <m:r>
              <w:rPr>
                <w:rFonts w:ascii="Cambria Math" w:eastAsia="Times New Roman" w:hAnsi="Cambria Math" w:cs="Times New Roman"/>
                <w:sz w:val="24"/>
                <w:szCs w:val="24"/>
              </w:rPr>
              <m:t>i</m:t>
            </m:r>
            <m:r>
              <w:rPr>
                <w:rFonts w:ascii="Cambria Math" w:eastAsia="Times New Roman" w:hAnsi="Times New Roman" w:cs="Times New Roman"/>
                <w:sz w:val="24"/>
                <w:szCs w:val="24"/>
              </w:rPr>
              <m:t>-</m:t>
            </m:r>
            <m:r>
              <w:rPr>
                <w:rFonts w:ascii="Cambria Math" w:eastAsia="Times New Roman" w:hAnsi="Times New Roman" w:cs="Times New Roman"/>
                <w:sz w:val="24"/>
                <w:szCs w:val="24"/>
              </w:rPr>
              <m:t>0.04</m:t>
            </m:r>
          </m:num>
          <m:den>
            <m:r>
              <w:rPr>
                <w:rFonts w:ascii="Cambria Math" w:eastAsia="Times New Roman" w:hAnsi="Times New Roman" w:cs="Times New Roman"/>
                <w:sz w:val="24"/>
                <w:szCs w:val="24"/>
              </w:rPr>
              <m:t>0.05</m:t>
            </m:r>
            <m:r>
              <w:rPr>
                <w:rFonts w:ascii="Cambria Math" w:eastAsia="Times New Roman" w:hAnsi="Times New Roman" w:cs="Times New Roman"/>
                <w:sz w:val="24"/>
                <w:szCs w:val="24"/>
              </w:rPr>
              <m:t>-</m:t>
            </m:r>
            <m:r>
              <w:rPr>
                <w:rFonts w:ascii="Cambria Math" w:eastAsia="Times New Roman" w:hAnsi="Times New Roman" w:cs="Times New Roman"/>
                <w:sz w:val="24"/>
                <w:szCs w:val="24"/>
              </w:rPr>
              <m:t>0.04</m:t>
            </m:r>
          </m:den>
        </m:f>
      </m:oMath>
      <w:r w:rsidR="000C493E" w:rsidRPr="003B38EE">
        <w:rPr>
          <w:rFonts w:ascii="Times New Roman" w:eastAsia="Times New Roman" w:hAnsi="Times New Roman" w:cs="Times New Roman"/>
          <w:sz w:val="24"/>
          <w:szCs w:val="24"/>
        </w:rPr>
        <w:t>=</w:t>
      </w:r>
      <m:oMath>
        <m:f>
          <m:fPr>
            <m:ctrlPr>
              <w:rPr>
                <w:rFonts w:ascii="Cambria Math" w:eastAsia="Times New Roman" w:hAnsi="Times New Roman" w:cs="Times New Roman"/>
                <w:i/>
                <w:sz w:val="24"/>
                <w:szCs w:val="24"/>
              </w:rPr>
            </m:ctrlPr>
          </m:fPr>
          <m:num>
            <m:r>
              <w:rPr>
                <w:rFonts w:ascii="Cambria Math" w:eastAsia="Times New Roman" w:hAnsi="Times New Roman" w:cs="Times New Roman"/>
                <w:sz w:val="24"/>
                <w:szCs w:val="24"/>
              </w:rPr>
              <m:t>0</m:t>
            </m:r>
            <m:r>
              <w:rPr>
                <w:rFonts w:ascii="Cambria Math" w:eastAsia="Times New Roman" w:hAnsi="Times New Roman" w:cs="Times New Roman"/>
                <w:sz w:val="24"/>
                <w:szCs w:val="24"/>
              </w:rPr>
              <m:t>-</m:t>
            </m:r>
            <m:r>
              <w:rPr>
                <w:rFonts w:ascii="Cambria Math" w:eastAsia="Times New Roman" w:hAnsi="Times New Roman" w:cs="Times New Roman"/>
                <w:sz w:val="24"/>
                <w:szCs w:val="24"/>
              </w:rPr>
              <m:t>2.43358</m:t>
            </m:r>
          </m:num>
          <m:den>
            <m:r>
              <w:rPr>
                <w:rFonts w:ascii="Cambria Math" w:eastAsia="Times New Roman" w:hAnsi="Times New Roman" w:cs="Times New Roman"/>
                <w:sz w:val="24"/>
                <w:szCs w:val="24"/>
              </w:rPr>
              <m:t>2.43358</m:t>
            </m:r>
            <m:r>
              <w:rPr>
                <w:rFonts w:ascii="Cambria Math" w:eastAsia="Times New Roman" w:hAnsi="Times New Roman" w:cs="Times New Roman"/>
                <w:sz w:val="24"/>
                <w:szCs w:val="24"/>
              </w:rPr>
              <m:t>--</m:t>
            </m:r>
            <m:r>
              <w:rPr>
                <w:rFonts w:ascii="Cambria Math" w:eastAsia="Times New Roman" w:hAnsi="Times New Roman" w:cs="Times New Roman"/>
                <w:sz w:val="24"/>
                <w:szCs w:val="24"/>
              </w:rPr>
              <m:t>1.4368</m:t>
            </m:r>
          </m:den>
        </m:f>
      </m:oMath>
    </w:p>
    <w:p w:rsidR="002F7276" w:rsidRPr="003B38EE" w:rsidRDefault="00FB551D" w:rsidP="003B38EE">
      <w:pPr>
        <w:spacing w:before="240"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I=4.06%</w:t>
      </w:r>
    </w:p>
    <w:p w:rsidR="002F7276" w:rsidRPr="003B38EE" w:rsidRDefault="00FB551D" w:rsidP="003B38EE">
      <w:pPr>
        <w:spacing w:before="240"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lastRenderedPageBreak/>
        <w:t>The investment is financially worthwhile since the net present value is positive and the IRR is high</w:t>
      </w:r>
    </w:p>
    <w:p w:rsidR="00F27B97" w:rsidRPr="003B38EE" w:rsidRDefault="00FB551D" w:rsidP="003B38EE">
      <w:pPr>
        <w:autoSpaceDE w:val="0"/>
        <w:autoSpaceDN w:val="0"/>
        <w:adjustRightInd w:val="0"/>
        <w:spacing w:after="0" w:line="480" w:lineRule="auto"/>
        <w:rPr>
          <w:rFonts w:ascii="Times New Roman" w:hAnsi="Times New Roman" w:cs="Times New Roman"/>
          <w:sz w:val="24"/>
          <w:szCs w:val="24"/>
          <w:lang w:val="en-GB"/>
        </w:rPr>
      </w:pPr>
      <w:bookmarkStart w:id="0" w:name="_gjdgxs" w:colFirst="0" w:colLast="0"/>
      <w:bookmarkEnd w:id="0"/>
      <w:r w:rsidRPr="003B38EE">
        <w:rPr>
          <w:rFonts w:ascii="Times New Roman" w:eastAsia="Times New Roman" w:hAnsi="Times New Roman" w:cs="Times New Roman"/>
          <w:sz w:val="24"/>
          <w:szCs w:val="24"/>
        </w:rPr>
        <w:t xml:space="preserve">b) The best method to use is NPV. This is because NPV gives the actual size of the gain. In IRR considering timing may be difficult resulting into inaccurate results thus giving wrong impression. NPV also measures the stock contribution to the stockholders. </w:t>
      </w:r>
      <w:r w:rsidR="003C24AD" w:rsidRPr="003B38EE">
        <w:rPr>
          <w:rFonts w:ascii="Times New Roman" w:eastAsia="Times New Roman" w:hAnsi="Times New Roman" w:cs="Times New Roman"/>
          <w:sz w:val="24"/>
          <w:szCs w:val="24"/>
        </w:rPr>
        <w:t>Furthermore,</w:t>
      </w:r>
      <w:r w:rsidR="00F27B97" w:rsidRPr="003B38EE">
        <w:rPr>
          <w:rFonts w:ascii="Times New Roman" w:eastAsia="Times New Roman" w:hAnsi="Times New Roman" w:cs="Times New Roman"/>
          <w:sz w:val="24"/>
          <w:szCs w:val="24"/>
        </w:rPr>
        <w:t xml:space="preserve"> the I</w:t>
      </w:r>
      <w:r w:rsidR="00F27B97" w:rsidRPr="003B38EE">
        <w:rPr>
          <w:rFonts w:ascii="Times New Roman" w:hAnsi="Times New Roman" w:cs="Times New Roman"/>
          <w:sz w:val="24"/>
          <w:szCs w:val="24"/>
          <w:lang w:val="en-GB"/>
        </w:rPr>
        <w:t>RR measure does not use the value of the currently available interest rates. It is solely an internal</w:t>
      </w:r>
      <w:r w:rsidR="003B38EE">
        <w:rPr>
          <w:rFonts w:ascii="Times New Roman" w:hAnsi="Times New Roman" w:cs="Times New Roman"/>
          <w:sz w:val="24"/>
          <w:szCs w:val="24"/>
          <w:lang w:val="en-GB"/>
        </w:rPr>
        <w:t xml:space="preserve"> </w:t>
      </w:r>
      <w:r w:rsidR="00F27B97" w:rsidRPr="003B38EE">
        <w:rPr>
          <w:rFonts w:ascii="Times New Roman" w:hAnsi="Times New Roman" w:cs="Times New Roman"/>
          <w:sz w:val="24"/>
          <w:szCs w:val="24"/>
          <w:lang w:val="en-GB"/>
        </w:rPr>
        <w:t xml:space="preserve">measure that is why it is called the </w:t>
      </w:r>
      <w:r w:rsidR="00F27B97" w:rsidRPr="003B38EE">
        <w:rPr>
          <w:rFonts w:ascii="Times New Roman" w:hAnsi="Times New Roman" w:cs="Times New Roman"/>
          <w:i/>
          <w:iCs/>
          <w:sz w:val="24"/>
          <w:szCs w:val="24"/>
          <w:lang w:val="en-GB"/>
        </w:rPr>
        <w:t xml:space="preserve">internal </w:t>
      </w:r>
      <w:r w:rsidR="00F27B97" w:rsidRPr="003B38EE">
        <w:rPr>
          <w:rFonts w:ascii="Times New Roman" w:hAnsi="Times New Roman" w:cs="Times New Roman"/>
          <w:sz w:val="24"/>
          <w:szCs w:val="24"/>
          <w:lang w:val="en-GB"/>
        </w:rPr>
        <w:t xml:space="preserve">rate of return. In particular, if an investment accumulates funds for a final payment, then the IRR calculation assumes that the sinking fund earns interest at the internal rate </w:t>
      </w:r>
      <w:r w:rsidR="003B38EE" w:rsidRPr="003B38EE">
        <w:rPr>
          <w:rFonts w:ascii="Times New Roman" w:hAnsi="Times New Roman" w:cs="Times New Roman"/>
          <w:sz w:val="24"/>
          <w:szCs w:val="24"/>
          <w:lang w:val="en-GB"/>
        </w:rPr>
        <w:t>of return</w:t>
      </w:r>
      <w:r w:rsidR="00F27B97" w:rsidRPr="003B38EE">
        <w:rPr>
          <w:rFonts w:ascii="Times New Roman" w:hAnsi="Times New Roman" w:cs="Times New Roman"/>
          <w:sz w:val="24"/>
          <w:szCs w:val="24"/>
          <w:lang w:val="en-GB"/>
        </w:rPr>
        <w:t>. Similarly, if a loan is required to finance a project, then the IRR calculation assumes the interest rate on</w:t>
      </w:r>
    </w:p>
    <w:p w:rsidR="002F7276" w:rsidRPr="003B38EE" w:rsidRDefault="00F27B97" w:rsidP="003B38EE">
      <w:pPr>
        <w:autoSpaceDE w:val="0"/>
        <w:autoSpaceDN w:val="0"/>
        <w:adjustRightInd w:val="0"/>
        <w:spacing w:after="0" w:line="480" w:lineRule="auto"/>
        <w:rPr>
          <w:rFonts w:ascii="Times New Roman" w:hAnsi="Times New Roman" w:cs="Times New Roman"/>
          <w:sz w:val="24"/>
          <w:szCs w:val="24"/>
          <w:lang w:val="en-GB"/>
        </w:rPr>
      </w:pPr>
      <w:proofErr w:type="gramStart"/>
      <w:r w:rsidRPr="003B38EE">
        <w:rPr>
          <w:rFonts w:ascii="Times New Roman" w:hAnsi="Times New Roman" w:cs="Times New Roman"/>
          <w:sz w:val="24"/>
          <w:szCs w:val="24"/>
          <w:lang w:val="en-GB"/>
        </w:rPr>
        <w:t>the</w:t>
      </w:r>
      <w:proofErr w:type="gramEnd"/>
      <w:r w:rsidRPr="003B38EE">
        <w:rPr>
          <w:rFonts w:ascii="Times New Roman" w:hAnsi="Times New Roman" w:cs="Times New Roman"/>
          <w:sz w:val="24"/>
          <w:szCs w:val="24"/>
          <w:lang w:val="en-GB"/>
        </w:rPr>
        <w:t xml:space="preserve"> loan is at the internal rate of return.</w:t>
      </w:r>
      <w:r w:rsidR="003C24AD" w:rsidRPr="003B38EE">
        <w:rPr>
          <w:rFonts w:ascii="Times New Roman" w:hAnsi="Times New Roman" w:cs="Times New Roman"/>
          <w:sz w:val="24"/>
          <w:szCs w:val="24"/>
          <w:lang w:val="en-GB"/>
        </w:rPr>
        <w:t xml:space="preserve"> Hence NPV is preferred. So, the company should consider the project with higher NPV hence it is better for them to leave out the alternative method.</w:t>
      </w:r>
    </w:p>
    <w:p w:rsidR="002F7276" w:rsidRPr="003B38EE" w:rsidRDefault="00FB551D" w:rsidP="003B38EE">
      <w:pPr>
        <w:spacing w:line="480" w:lineRule="auto"/>
        <w:jc w:val="center"/>
        <w:rPr>
          <w:rFonts w:ascii="Times New Roman" w:eastAsia="Times New Roman" w:hAnsi="Times New Roman" w:cs="Times New Roman"/>
          <w:b/>
          <w:sz w:val="24"/>
          <w:szCs w:val="24"/>
        </w:rPr>
      </w:pPr>
      <w:r w:rsidRPr="003B38EE">
        <w:rPr>
          <w:rFonts w:ascii="Times New Roman" w:eastAsia="Times New Roman" w:hAnsi="Times New Roman" w:cs="Times New Roman"/>
          <w:b/>
          <w:sz w:val="24"/>
          <w:szCs w:val="24"/>
        </w:rPr>
        <w:t>Task 2</w:t>
      </w:r>
    </w:p>
    <w:p w:rsidR="003B38EE" w:rsidRPr="003B38EE" w:rsidRDefault="003B38EE" w:rsidP="003B38EE">
      <w:pPr>
        <w:spacing w:line="480" w:lineRule="auto"/>
        <w:ind w:firstLine="720"/>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Despite the two firms being in the different sectors, they are bound to have different beta values over a period of time. This difference is justified on 3</w:t>
      </w:r>
      <w:r w:rsidRPr="003B38EE">
        <w:rPr>
          <w:rFonts w:ascii="Times New Roman" w:eastAsia="Times New Roman" w:hAnsi="Times New Roman" w:cs="Times New Roman"/>
          <w:sz w:val="24"/>
          <w:szCs w:val="24"/>
          <w:vertAlign w:val="superscript"/>
        </w:rPr>
        <w:t>rd</w:t>
      </w:r>
      <w:r w:rsidRPr="003B38EE">
        <w:rPr>
          <w:rFonts w:ascii="Times New Roman" w:eastAsia="Times New Roman" w:hAnsi="Times New Roman" w:cs="Times New Roman"/>
          <w:sz w:val="24"/>
          <w:szCs w:val="24"/>
        </w:rPr>
        <w:t xml:space="preserve"> July 2018 where the beta value of Tesco PLC is stated to be 0.49 while on the same day the beta value of Intercontinental Hotels Group PLC is found to be 1.18. There are two main factors behind the disparity between the beta values of the two firms in question. One of the reasons in charge of the difference the two firms have a different capital structure and thus this may also bring out the difference in the beta values. “It is possible that Tesco PLC capital structure is lower than that of Intercontinental Hotels Group PLC and this comes out as the main reason why the beta value of the Tesco PLC is lower, </w:t>
      </w:r>
      <w:proofErr w:type="spellStart"/>
      <w:r w:rsidRPr="003B38EE">
        <w:rPr>
          <w:rFonts w:ascii="Times New Roman" w:eastAsia="Times New Roman" w:hAnsi="Times New Roman" w:cs="Times New Roman"/>
          <w:color w:val="222222"/>
          <w:sz w:val="24"/>
          <w:szCs w:val="24"/>
          <w:highlight w:val="white"/>
        </w:rPr>
        <w:t>Corbet</w:t>
      </w:r>
      <w:proofErr w:type="spellEnd"/>
      <w:r w:rsidRPr="003B38EE">
        <w:rPr>
          <w:rFonts w:ascii="Times New Roman" w:eastAsia="Times New Roman" w:hAnsi="Times New Roman" w:cs="Times New Roman"/>
          <w:color w:val="222222"/>
          <w:sz w:val="24"/>
          <w:szCs w:val="24"/>
          <w:highlight w:val="white"/>
        </w:rPr>
        <w:t xml:space="preserve"> and McMullan (2018)”</w:t>
      </w:r>
      <w:r w:rsidRPr="003B38EE">
        <w:rPr>
          <w:rFonts w:ascii="Times New Roman" w:eastAsia="Times New Roman" w:hAnsi="Times New Roman" w:cs="Times New Roman"/>
          <w:sz w:val="24"/>
          <w:szCs w:val="24"/>
        </w:rPr>
        <w:t xml:space="preserve">. Secondly, the other reason why there is a difference </w:t>
      </w:r>
      <w:r w:rsidRPr="003B38EE">
        <w:rPr>
          <w:rFonts w:ascii="Times New Roman" w:eastAsia="Times New Roman" w:hAnsi="Times New Roman" w:cs="Times New Roman"/>
          <w:sz w:val="24"/>
          <w:szCs w:val="24"/>
        </w:rPr>
        <w:lastRenderedPageBreak/>
        <w:t xml:space="preserve">between the two </w:t>
      </w:r>
      <w:proofErr w:type="gramStart"/>
      <w:r w:rsidRPr="003B38EE">
        <w:rPr>
          <w:rFonts w:ascii="Times New Roman" w:eastAsia="Times New Roman" w:hAnsi="Times New Roman" w:cs="Times New Roman"/>
          <w:sz w:val="24"/>
          <w:szCs w:val="24"/>
        </w:rPr>
        <w:t>firms</w:t>
      </w:r>
      <w:proofErr w:type="gramEnd"/>
      <w:r w:rsidRPr="003B38EE">
        <w:rPr>
          <w:rFonts w:ascii="Times New Roman" w:eastAsia="Times New Roman" w:hAnsi="Times New Roman" w:cs="Times New Roman"/>
          <w:sz w:val="24"/>
          <w:szCs w:val="24"/>
        </w:rPr>
        <w:t xml:space="preserve"> beta values is due to the different risks that are faced by individual firms taking it consideration they are in different sectors. There is a high possibility that Intercontinental Hotels Group PLC has more risks than Tesco PLC and hence the higher beta value.</w:t>
      </w:r>
    </w:p>
    <w:p w:rsidR="003B38EE" w:rsidRPr="003B38EE" w:rsidRDefault="003B38EE" w:rsidP="003B38EE">
      <w:pPr>
        <w:spacing w:line="480" w:lineRule="auto"/>
        <w:ind w:firstLine="720"/>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xml:space="preserve">Calculating the beta value is very crucial for every firm out there. The beta value helps the firm to know how sensitive their stock price is at the current systematic risk. “The systematic risk is derived by having a look at the return from a market portfolio which later acts as a stand-in for various capital markets, </w:t>
      </w:r>
      <w:proofErr w:type="spellStart"/>
      <w:r w:rsidRPr="003B38EE">
        <w:rPr>
          <w:rFonts w:ascii="Times New Roman" w:eastAsia="Times New Roman" w:hAnsi="Times New Roman" w:cs="Times New Roman"/>
          <w:color w:val="222222"/>
          <w:sz w:val="24"/>
          <w:szCs w:val="24"/>
          <w:highlight w:val="white"/>
        </w:rPr>
        <w:t>Dey</w:t>
      </w:r>
      <w:proofErr w:type="spellEnd"/>
      <w:r w:rsidRPr="003B38EE">
        <w:rPr>
          <w:rFonts w:ascii="Times New Roman" w:eastAsia="Times New Roman" w:hAnsi="Times New Roman" w:cs="Times New Roman"/>
          <w:color w:val="222222"/>
          <w:sz w:val="24"/>
          <w:szCs w:val="24"/>
          <w:highlight w:val="white"/>
        </w:rPr>
        <w:t xml:space="preserve"> and </w:t>
      </w:r>
      <w:proofErr w:type="spellStart"/>
      <w:r w:rsidRPr="003B38EE">
        <w:rPr>
          <w:rFonts w:ascii="Times New Roman" w:eastAsia="Times New Roman" w:hAnsi="Times New Roman" w:cs="Times New Roman"/>
          <w:color w:val="222222"/>
          <w:sz w:val="24"/>
          <w:szCs w:val="24"/>
          <w:highlight w:val="white"/>
        </w:rPr>
        <w:t>Saha</w:t>
      </w:r>
      <w:proofErr w:type="spellEnd"/>
      <w:r w:rsidRPr="003B38EE">
        <w:rPr>
          <w:rFonts w:ascii="Times New Roman" w:eastAsia="Times New Roman" w:hAnsi="Times New Roman" w:cs="Times New Roman"/>
          <w:color w:val="222222"/>
          <w:sz w:val="24"/>
          <w:szCs w:val="24"/>
          <w:highlight w:val="white"/>
        </w:rPr>
        <w:t xml:space="preserve"> (2018)”</w:t>
      </w:r>
      <w:r w:rsidRPr="003B38EE">
        <w:rPr>
          <w:rFonts w:ascii="Times New Roman" w:eastAsia="Times New Roman" w:hAnsi="Times New Roman" w:cs="Times New Roman"/>
          <w:sz w:val="24"/>
          <w:szCs w:val="24"/>
        </w:rPr>
        <w:t xml:space="preserve">. Calculating beta value a firm is able to know how much their individual stock price is fluctuating and compare it to the overall stock fluctuation over a period of time. This becomes crucial since stock prices fluctuate after every minute and thus the beta values give </w:t>
      </w:r>
      <w:proofErr w:type="gramStart"/>
      <w:r w:rsidRPr="003B38EE">
        <w:rPr>
          <w:rFonts w:ascii="Times New Roman" w:eastAsia="Times New Roman" w:hAnsi="Times New Roman" w:cs="Times New Roman"/>
          <w:sz w:val="24"/>
          <w:szCs w:val="24"/>
        </w:rPr>
        <w:t>a firm a go-ahead as far as the investment decisions are</w:t>
      </w:r>
      <w:proofErr w:type="gramEnd"/>
      <w:r w:rsidRPr="003B38EE">
        <w:rPr>
          <w:rFonts w:ascii="Times New Roman" w:eastAsia="Times New Roman" w:hAnsi="Times New Roman" w:cs="Times New Roman"/>
          <w:sz w:val="24"/>
          <w:szCs w:val="24"/>
        </w:rPr>
        <w:t xml:space="preserve"> concerned.</w:t>
      </w:r>
    </w:p>
    <w:p w:rsidR="003B38EE" w:rsidRPr="003B38EE" w:rsidRDefault="003B38EE" w:rsidP="003B38EE">
      <w:pPr>
        <w:spacing w:line="480" w:lineRule="auto"/>
        <w:ind w:firstLine="720"/>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xml:space="preserve">Beta values have a great impact on the firms as far as the book-to-market ratios are concerned. With beta values, the two firms namely the Tesco PLC and Intercontinental Hotels Group PLC can be able to familiarize with the book-to-market ratios and make necessary decisions concerning how they are going to make the investments. Also, beta values have an impact on the growth of the firms. “According to </w:t>
      </w:r>
      <w:proofErr w:type="spellStart"/>
      <w:r w:rsidRPr="003B38EE">
        <w:rPr>
          <w:rFonts w:ascii="Times New Roman" w:eastAsia="Times New Roman" w:hAnsi="Times New Roman" w:cs="Times New Roman"/>
          <w:color w:val="222222"/>
          <w:sz w:val="24"/>
          <w:szCs w:val="24"/>
          <w:highlight w:val="white"/>
        </w:rPr>
        <w:t>Corbet</w:t>
      </w:r>
      <w:proofErr w:type="spellEnd"/>
      <w:r w:rsidRPr="003B38EE">
        <w:rPr>
          <w:rFonts w:ascii="Times New Roman" w:eastAsia="Times New Roman" w:hAnsi="Times New Roman" w:cs="Times New Roman"/>
          <w:color w:val="222222"/>
          <w:sz w:val="24"/>
          <w:szCs w:val="24"/>
          <w:highlight w:val="white"/>
        </w:rPr>
        <w:t xml:space="preserve"> and McMullan (2018), l</w:t>
      </w:r>
      <w:r w:rsidRPr="003B38EE">
        <w:rPr>
          <w:rFonts w:ascii="Times New Roman" w:eastAsia="Times New Roman" w:hAnsi="Times New Roman" w:cs="Times New Roman"/>
          <w:sz w:val="24"/>
          <w:szCs w:val="24"/>
        </w:rPr>
        <w:t>ower beta values indicate that the firm’s growth is appropriate and thus the firm should either improve on the stock price or maintain at the current price”. For that reason, beta values have an impact of the overall well being of the firm financially by alerting on the current status of how the firm is fairing in the market.</w:t>
      </w:r>
    </w:p>
    <w:p w:rsidR="003B38EE" w:rsidRPr="003B38EE" w:rsidRDefault="003B38EE" w:rsidP="003B38EE">
      <w:pPr>
        <w:spacing w:line="480" w:lineRule="auto"/>
        <w:jc w:val="center"/>
        <w:rPr>
          <w:rFonts w:ascii="Times New Roman" w:eastAsia="Times New Roman" w:hAnsi="Times New Roman" w:cs="Times New Roman"/>
          <w:b/>
          <w:sz w:val="24"/>
          <w:szCs w:val="24"/>
        </w:rPr>
      </w:pPr>
      <w:r w:rsidRPr="003B38EE">
        <w:rPr>
          <w:rFonts w:ascii="Times New Roman" w:eastAsia="Times New Roman" w:hAnsi="Times New Roman" w:cs="Times New Roman"/>
          <w:b/>
          <w:sz w:val="24"/>
          <w:szCs w:val="24"/>
        </w:rPr>
        <w:t>Task 3</w:t>
      </w:r>
    </w:p>
    <w:p w:rsidR="003B38EE" w:rsidRPr="003B38EE" w:rsidRDefault="003B38EE" w:rsidP="003B38EE">
      <w:pPr>
        <w:spacing w:line="480" w:lineRule="auto"/>
        <w:ind w:firstLine="720"/>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lastRenderedPageBreak/>
        <w:t xml:space="preserve">Organic growth is achieved when a firm decides to increase its outputs at the same time improving their internal sales. One of the aspects to note is that the profits, mergers, acquisitions and takeovers are not included in the organic growth. The reason as to why the aforementioned aspects are not included in the organic growth is due to the effect that they result in inorganic growth thus being discarded with immediate effect. “One of the benefits of organic growth is that it enhances the firm to develop and grow from within, </w:t>
      </w:r>
      <w:r w:rsidRPr="003B38EE">
        <w:rPr>
          <w:rFonts w:ascii="Times New Roman" w:eastAsia="Times New Roman" w:hAnsi="Times New Roman" w:cs="Times New Roman"/>
          <w:color w:val="222222"/>
          <w:sz w:val="24"/>
          <w:szCs w:val="24"/>
          <w:highlight w:val="white"/>
        </w:rPr>
        <w:t>Vu (2016)”</w:t>
      </w:r>
      <w:r w:rsidRPr="003B38EE">
        <w:rPr>
          <w:rFonts w:ascii="Times New Roman" w:eastAsia="Times New Roman" w:hAnsi="Times New Roman" w:cs="Times New Roman"/>
          <w:sz w:val="24"/>
          <w:szCs w:val="24"/>
        </w:rPr>
        <w:t xml:space="preserve">. Such a strategy is important to the Tesco PLC since through deciding to utilize their ability to raise funds and generate cash will help the company to expand organically. As a result of using the organic growth strategy, the Tesco PLC investors will be able to see that the company in which they invested in is able to earn more which is in turn reflected in the high stock price over the years. At the end of the day, the Tesco PLC will enjoy an increased dividend payout which every investor of sound mind needs to support in all ways possible. </w:t>
      </w:r>
    </w:p>
    <w:p w:rsidR="003B38EE" w:rsidRPr="003B38EE" w:rsidRDefault="003B38EE" w:rsidP="003B38EE">
      <w:pPr>
        <w:spacing w:line="480" w:lineRule="auto"/>
        <w:ind w:firstLine="720"/>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xml:space="preserve">On the contrary, undertaking growth by acquisition is also another available growth strategy that the Tesco PLC can use to grow in the grocery sector. However, growth by acquisition usually works out best for the small enterprises as they combine efforts with others. In that case, the growth strategy by acquisition is not preferable and advisable for the Tesco PLC since it has already established its position in the market. “According to </w:t>
      </w:r>
      <w:r w:rsidRPr="003B38EE">
        <w:rPr>
          <w:rFonts w:ascii="Times New Roman" w:eastAsia="Times New Roman" w:hAnsi="Times New Roman" w:cs="Times New Roman"/>
          <w:color w:val="222222"/>
          <w:sz w:val="24"/>
          <w:szCs w:val="24"/>
          <w:highlight w:val="white"/>
        </w:rPr>
        <w:t xml:space="preserve">Wood et al. (2016), </w:t>
      </w:r>
      <w:r w:rsidRPr="003B38EE">
        <w:rPr>
          <w:rFonts w:ascii="Times New Roman" w:eastAsia="Times New Roman" w:hAnsi="Times New Roman" w:cs="Times New Roman"/>
          <w:sz w:val="24"/>
          <w:szCs w:val="24"/>
        </w:rPr>
        <w:t xml:space="preserve">what the firm should do in order to succeed and compete healthily with other firms the likes of intercontinental hotels group plc is to develop and grow from within through using what they have in hand”.  In addition, the strategy of organic growth is also less risky as compared to other methods that are involved in the process of a firm’s growth in terms of sales and marketing efforts. However, despite the fact that Tesco PLC should consider the organic growth strategy, growth through acquisition is also appropriate since it usually leads to quicker and cheaper </w:t>
      </w:r>
      <w:r w:rsidRPr="003B38EE">
        <w:rPr>
          <w:rFonts w:ascii="Times New Roman" w:eastAsia="Times New Roman" w:hAnsi="Times New Roman" w:cs="Times New Roman"/>
          <w:sz w:val="24"/>
          <w:szCs w:val="24"/>
        </w:rPr>
        <w:lastRenderedPageBreak/>
        <w:t>expansion. Economists have encouraged the adoption of the growth through acquisition since it’s a two-way growth process. Tesco PLC however, should not in any way consider the growth by acquisition strategy since it is already established. Instead, the company should consider the organic growth strategy since it has all it takes to expand from within.</w:t>
      </w:r>
    </w:p>
    <w:p w:rsidR="003B38EE" w:rsidRPr="003B38EE" w:rsidRDefault="003B38EE" w:rsidP="003B38EE">
      <w:pPr>
        <w:spacing w:line="480" w:lineRule="auto"/>
        <w:jc w:val="center"/>
        <w:rPr>
          <w:rFonts w:ascii="Times New Roman" w:eastAsia="Times New Roman" w:hAnsi="Times New Roman" w:cs="Times New Roman"/>
          <w:b/>
          <w:sz w:val="24"/>
          <w:szCs w:val="24"/>
        </w:rPr>
      </w:pPr>
      <w:r w:rsidRPr="003B38EE">
        <w:rPr>
          <w:rFonts w:ascii="Times New Roman" w:eastAsia="Times New Roman" w:hAnsi="Times New Roman" w:cs="Times New Roman"/>
          <w:b/>
          <w:sz w:val="24"/>
          <w:szCs w:val="24"/>
        </w:rPr>
        <w:t>Task 4</w:t>
      </w:r>
    </w:p>
    <w:p w:rsidR="003B38EE" w:rsidRPr="003B38EE" w:rsidRDefault="003B38EE" w:rsidP="003B38EE">
      <w:pPr>
        <w:spacing w:line="480" w:lineRule="auto"/>
        <w:ind w:firstLine="720"/>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xml:space="preserve">Tesco PLC has to put into consideration a number of factors that would determine whether it should use either additional debt or equity to finance its expansion. One of the factors to take into consideration is the risk associated with each type of financing. Risk is a very crucial factor to consider in a firm’s decision to either use more debt or equity to finance its operations. “First, if Tesco PLC is to issue more debt in introducing a new computer system which it is believed will streamline its supply chain activities then it should first consider what will happen to their relationship with the borrowers if at any case they fail to repay, </w:t>
      </w:r>
      <w:proofErr w:type="spellStart"/>
      <w:r w:rsidRPr="003B38EE">
        <w:rPr>
          <w:rFonts w:ascii="Times New Roman" w:eastAsia="Times New Roman" w:hAnsi="Times New Roman" w:cs="Times New Roman"/>
          <w:color w:val="222222"/>
          <w:sz w:val="24"/>
          <w:szCs w:val="24"/>
          <w:highlight w:val="white"/>
        </w:rPr>
        <w:t>Pijper</w:t>
      </w:r>
      <w:proofErr w:type="spellEnd"/>
      <w:r w:rsidRPr="003B38EE">
        <w:rPr>
          <w:rFonts w:ascii="Times New Roman" w:eastAsia="Times New Roman" w:hAnsi="Times New Roman" w:cs="Times New Roman"/>
          <w:color w:val="222222"/>
          <w:sz w:val="24"/>
          <w:szCs w:val="24"/>
          <w:highlight w:val="white"/>
        </w:rPr>
        <w:t xml:space="preserve"> (2016)”</w:t>
      </w:r>
      <w:r w:rsidRPr="003B38EE">
        <w:rPr>
          <w:rFonts w:ascii="Times New Roman" w:eastAsia="Times New Roman" w:hAnsi="Times New Roman" w:cs="Times New Roman"/>
          <w:sz w:val="24"/>
          <w:szCs w:val="24"/>
        </w:rPr>
        <w:t xml:space="preserve">. On the other hand, when issuing more equity, in case the concerned parties do not follow the obligations and the commitments </w:t>
      </w:r>
      <w:proofErr w:type="gramStart"/>
      <w:r w:rsidRPr="003B38EE">
        <w:rPr>
          <w:rFonts w:ascii="Times New Roman" w:eastAsia="Times New Roman" w:hAnsi="Times New Roman" w:cs="Times New Roman"/>
          <w:sz w:val="24"/>
          <w:szCs w:val="24"/>
        </w:rPr>
        <w:t>laid</w:t>
      </w:r>
      <w:proofErr w:type="gramEnd"/>
      <w:r w:rsidRPr="003B38EE">
        <w:rPr>
          <w:rFonts w:ascii="Times New Roman" w:eastAsia="Times New Roman" w:hAnsi="Times New Roman" w:cs="Times New Roman"/>
          <w:sz w:val="24"/>
          <w:szCs w:val="24"/>
        </w:rPr>
        <w:t xml:space="preserve"> out, what are the necessary steps to be taken? All these questions have to be taken into consideration before choosing, either way, to finance the expansion and determine the best way to raise the long-term funds.</w:t>
      </w:r>
    </w:p>
    <w:p w:rsidR="003B38EE" w:rsidRPr="003B38EE" w:rsidRDefault="003B38EE" w:rsidP="003B38EE">
      <w:pPr>
        <w:spacing w:line="480" w:lineRule="auto"/>
        <w:ind w:firstLine="720"/>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xml:space="preserve">Secondly, the cost of finance to be incurred is also crucial for Tesco PLC to consider. If the cost of financing in introducing a new computer system which is believed will streamline its supply chain activities are much huge than the benefits to be enjoyed then the company should not take such a step. For instance, if the cost of finance to expand when using more debt is higher than that of issuing more equity, then Tesco PLC has the obligation to choose the latter. Such a </w:t>
      </w:r>
      <w:r w:rsidRPr="003B38EE">
        <w:rPr>
          <w:rFonts w:ascii="Times New Roman" w:eastAsia="Times New Roman" w:hAnsi="Times New Roman" w:cs="Times New Roman"/>
          <w:sz w:val="24"/>
          <w:szCs w:val="24"/>
        </w:rPr>
        <w:lastRenderedPageBreak/>
        <w:t>strategy will help Tesco PLC to have a healthy way of financing as long as competition in the retail industry is concerned.</w:t>
      </w:r>
    </w:p>
    <w:p w:rsidR="003B38EE" w:rsidRPr="003B38EE" w:rsidRDefault="003B38EE" w:rsidP="003B38EE">
      <w:pPr>
        <w:spacing w:line="480" w:lineRule="auto"/>
        <w:ind w:firstLine="720"/>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xml:space="preserve">The level of control in terms of how business operations are conducted and decisions are made that Tesco PLC wishes to retain is also another factor to consider when choosing the method to fund its expansion in introducing a new computer system in an attempt to streamline its supply chain activities. According to </w:t>
      </w:r>
      <w:r w:rsidRPr="003B38EE">
        <w:rPr>
          <w:rFonts w:ascii="Times New Roman" w:eastAsia="Times New Roman" w:hAnsi="Times New Roman" w:cs="Times New Roman"/>
          <w:color w:val="222222"/>
          <w:sz w:val="24"/>
          <w:szCs w:val="24"/>
          <w:highlight w:val="white"/>
        </w:rPr>
        <w:t>Scott</w:t>
      </w:r>
      <w:r w:rsidRPr="003B38EE">
        <w:rPr>
          <w:rFonts w:ascii="Times New Roman" w:eastAsia="Times New Roman" w:hAnsi="Times New Roman" w:cs="Times New Roman"/>
          <w:sz w:val="24"/>
          <w:szCs w:val="24"/>
        </w:rPr>
        <w:t xml:space="preserve"> et al. (2018), by issuing more equity results to dilution of control in between the different stakeholders involved in the firm which is not recommendable since every stakeholder has to be involved as they contribute in one way or another in the business. Also, as per the pecking order theory which states that financing a business increases the asymmetrical information available. Firms more often than not refrain from using equity finance as investors tend to place a lower value on the new equity to be issued under the assumptions that the managers have overvalued the firm. On the other hand, issuing more debt is also tricky since once the borrowers fail to repay back the debt the relationship between the two ceases. Tesco PLC should as seek to balance between its costs and benefits so as to find the optimum ratio of debt and equity financing to use to finance its operations. This would be in accordance with the trade-off theory of financing.</w:t>
      </w:r>
    </w:p>
    <w:p w:rsidR="002F7276" w:rsidRPr="003B38EE" w:rsidRDefault="003B38EE" w:rsidP="003B38EE">
      <w:pPr>
        <w:spacing w:line="480" w:lineRule="auto"/>
        <w:ind w:firstLine="720"/>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t xml:space="preserve">Last but not least is the need to weigh on whether the source of funding should be long term or short term. Economists have in the past warned of the financial implications of both long-term and short-term financing. First, short-term funding may mature too fast. This would inconvenience projects and operations before their completion and thus there is need for precautions before the use of short term finance options as far as Tesco PLC needs to expand in introducing a new computer system which is believed will streamline its supply chain activities is concerned, </w:t>
      </w:r>
      <w:proofErr w:type="spellStart"/>
      <w:r w:rsidRPr="003B38EE">
        <w:rPr>
          <w:rFonts w:ascii="Times New Roman" w:eastAsia="Times New Roman" w:hAnsi="Times New Roman" w:cs="Times New Roman"/>
          <w:color w:val="222222"/>
          <w:sz w:val="24"/>
          <w:szCs w:val="24"/>
          <w:highlight w:val="white"/>
        </w:rPr>
        <w:t>Pijper</w:t>
      </w:r>
      <w:proofErr w:type="spellEnd"/>
      <w:r w:rsidRPr="003B38EE">
        <w:rPr>
          <w:rFonts w:ascii="Times New Roman" w:eastAsia="Times New Roman" w:hAnsi="Times New Roman" w:cs="Times New Roman"/>
          <w:color w:val="222222"/>
          <w:sz w:val="24"/>
          <w:szCs w:val="24"/>
          <w:highlight w:val="white"/>
        </w:rPr>
        <w:t xml:space="preserve"> (2016)</w:t>
      </w:r>
      <w:r w:rsidRPr="003B38EE">
        <w:rPr>
          <w:rFonts w:ascii="Times New Roman" w:eastAsia="Times New Roman" w:hAnsi="Times New Roman" w:cs="Times New Roman"/>
          <w:sz w:val="24"/>
          <w:szCs w:val="24"/>
        </w:rPr>
        <w:t xml:space="preserve">. On the other hand, long-term financing may also be hectic in terms </w:t>
      </w:r>
      <w:r w:rsidRPr="003B38EE">
        <w:rPr>
          <w:rFonts w:ascii="Times New Roman" w:eastAsia="Times New Roman" w:hAnsi="Times New Roman" w:cs="Times New Roman"/>
          <w:sz w:val="24"/>
          <w:szCs w:val="24"/>
        </w:rPr>
        <w:lastRenderedPageBreak/>
        <w:t>of the process of securing the long term finance loans with conditions that would favor the Tesco PLC. For that reason, Tesco PLC should consider the mode of financing to expand that which is favorable and will not in any way interfere with the daily operations in the retail sector.</w:t>
      </w:r>
    </w:p>
    <w:p w:rsidR="003B38EE" w:rsidRPr="003B38EE" w:rsidRDefault="003B38EE" w:rsidP="003B38EE">
      <w:pPr>
        <w:spacing w:line="480" w:lineRule="auto"/>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br w:type="page"/>
      </w:r>
    </w:p>
    <w:p w:rsidR="003B38EE" w:rsidRPr="003B38EE" w:rsidRDefault="003B38EE" w:rsidP="003B38EE">
      <w:pPr>
        <w:spacing w:line="480" w:lineRule="auto"/>
        <w:jc w:val="center"/>
        <w:rPr>
          <w:rFonts w:ascii="Times New Roman" w:eastAsia="Times New Roman" w:hAnsi="Times New Roman" w:cs="Times New Roman"/>
          <w:sz w:val="24"/>
          <w:szCs w:val="24"/>
        </w:rPr>
      </w:pPr>
      <w:r w:rsidRPr="003B38EE">
        <w:rPr>
          <w:rFonts w:ascii="Times New Roman" w:eastAsia="Times New Roman" w:hAnsi="Times New Roman" w:cs="Times New Roman"/>
          <w:sz w:val="24"/>
          <w:szCs w:val="24"/>
        </w:rPr>
        <w:lastRenderedPageBreak/>
        <w:t>References</w:t>
      </w:r>
    </w:p>
    <w:p w:rsidR="003B38EE" w:rsidRPr="003B38EE" w:rsidRDefault="003B38EE" w:rsidP="003B38EE">
      <w:pPr>
        <w:spacing w:line="480" w:lineRule="auto"/>
        <w:ind w:left="720" w:hanging="720"/>
        <w:rPr>
          <w:rFonts w:ascii="Times New Roman" w:eastAsia="Times New Roman" w:hAnsi="Times New Roman" w:cs="Times New Roman"/>
          <w:color w:val="222222"/>
          <w:sz w:val="24"/>
          <w:szCs w:val="24"/>
          <w:highlight w:val="white"/>
        </w:rPr>
      </w:pPr>
      <w:proofErr w:type="spellStart"/>
      <w:proofErr w:type="gramStart"/>
      <w:r w:rsidRPr="003B38EE">
        <w:rPr>
          <w:rFonts w:ascii="Times New Roman" w:eastAsia="Times New Roman" w:hAnsi="Times New Roman" w:cs="Times New Roman"/>
          <w:color w:val="222222"/>
          <w:sz w:val="24"/>
          <w:szCs w:val="24"/>
          <w:highlight w:val="white"/>
        </w:rPr>
        <w:t>Corbet</w:t>
      </w:r>
      <w:proofErr w:type="spellEnd"/>
      <w:r w:rsidRPr="003B38EE">
        <w:rPr>
          <w:rFonts w:ascii="Times New Roman" w:eastAsia="Times New Roman" w:hAnsi="Times New Roman" w:cs="Times New Roman"/>
          <w:color w:val="222222"/>
          <w:sz w:val="24"/>
          <w:szCs w:val="24"/>
          <w:highlight w:val="white"/>
        </w:rPr>
        <w:t>, S. and McMullan, C., 2018.</w:t>
      </w:r>
      <w:proofErr w:type="gramEnd"/>
      <w:r w:rsidRPr="003B38EE">
        <w:rPr>
          <w:rFonts w:ascii="Times New Roman" w:eastAsia="Times New Roman" w:hAnsi="Times New Roman" w:cs="Times New Roman"/>
          <w:color w:val="222222"/>
          <w:sz w:val="24"/>
          <w:szCs w:val="24"/>
          <w:highlight w:val="white"/>
        </w:rPr>
        <w:t xml:space="preserve"> Stock market reaction to irregular supermarket chain </w:t>
      </w:r>
      <w:proofErr w:type="spellStart"/>
      <w:r w:rsidRPr="003B38EE">
        <w:rPr>
          <w:rFonts w:ascii="Times New Roman" w:eastAsia="Times New Roman" w:hAnsi="Times New Roman" w:cs="Times New Roman"/>
          <w:color w:val="222222"/>
          <w:sz w:val="24"/>
          <w:szCs w:val="24"/>
          <w:highlight w:val="white"/>
        </w:rPr>
        <w:t>behaviour</w:t>
      </w:r>
      <w:proofErr w:type="spellEnd"/>
      <w:r w:rsidRPr="003B38EE">
        <w:rPr>
          <w:rFonts w:ascii="Times New Roman" w:eastAsia="Times New Roman" w:hAnsi="Times New Roman" w:cs="Times New Roman"/>
          <w:color w:val="222222"/>
          <w:sz w:val="24"/>
          <w:szCs w:val="24"/>
          <w:highlight w:val="white"/>
        </w:rPr>
        <w:t>: An investigation in the retail sectors of Ireland and the United Kingdom. </w:t>
      </w:r>
      <w:proofErr w:type="gramStart"/>
      <w:r w:rsidRPr="003B38EE">
        <w:rPr>
          <w:rFonts w:ascii="Times New Roman" w:eastAsia="Times New Roman" w:hAnsi="Times New Roman" w:cs="Times New Roman"/>
          <w:i/>
          <w:color w:val="222222"/>
          <w:sz w:val="24"/>
          <w:szCs w:val="24"/>
          <w:highlight w:val="white"/>
        </w:rPr>
        <w:t>Journal of Retailing and Consumer Services</w:t>
      </w:r>
      <w:r w:rsidRPr="003B38EE">
        <w:rPr>
          <w:rFonts w:ascii="Times New Roman" w:eastAsia="Times New Roman" w:hAnsi="Times New Roman" w:cs="Times New Roman"/>
          <w:color w:val="222222"/>
          <w:sz w:val="24"/>
          <w:szCs w:val="24"/>
          <w:highlight w:val="white"/>
        </w:rPr>
        <w:t>, </w:t>
      </w:r>
      <w:r w:rsidRPr="003B38EE">
        <w:rPr>
          <w:rFonts w:ascii="Times New Roman" w:eastAsia="Times New Roman" w:hAnsi="Times New Roman" w:cs="Times New Roman"/>
          <w:i/>
          <w:color w:val="222222"/>
          <w:sz w:val="24"/>
          <w:szCs w:val="24"/>
          <w:highlight w:val="white"/>
        </w:rPr>
        <w:t>43</w:t>
      </w:r>
      <w:r w:rsidRPr="003B38EE">
        <w:rPr>
          <w:rFonts w:ascii="Times New Roman" w:eastAsia="Times New Roman" w:hAnsi="Times New Roman" w:cs="Times New Roman"/>
          <w:color w:val="222222"/>
          <w:sz w:val="24"/>
          <w:szCs w:val="24"/>
          <w:highlight w:val="white"/>
        </w:rPr>
        <w:t>, pp.20-29.</w:t>
      </w:r>
      <w:proofErr w:type="gramEnd"/>
    </w:p>
    <w:p w:rsidR="003B38EE" w:rsidRPr="003B38EE" w:rsidRDefault="003B38EE" w:rsidP="003B38EE">
      <w:pPr>
        <w:spacing w:line="480" w:lineRule="auto"/>
        <w:ind w:left="720" w:hanging="720"/>
        <w:rPr>
          <w:rFonts w:ascii="Times New Roman" w:eastAsia="Times New Roman" w:hAnsi="Times New Roman" w:cs="Times New Roman"/>
          <w:sz w:val="24"/>
          <w:szCs w:val="24"/>
        </w:rPr>
      </w:pPr>
      <w:proofErr w:type="spellStart"/>
      <w:proofErr w:type="gramStart"/>
      <w:r w:rsidRPr="003B38EE">
        <w:rPr>
          <w:rFonts w:ascii="Times New Roman" w:eastAsia="Times New Roman" w:hAnsi="Times New Roman" w:cs="Times New Roman"/>
          <w:color w:val="222222"/>
          <w:sz w:val="24"/>
          <w:szCs w:val="24"/>
          <w:highlight w:val="white"/>
        </w:rPr>
        <w:t>Dey</w:t>
      </w:r>
      <w:proofErr w:type="spellEnd"/>
      <w:r w:rsidRPr="003B38EE">
        <w:rPr>
          <w:rFonts w:ascii="Times New Roman" w:eastAsia="Times New Roman" w:hAnsi="Times New Roman" w:cs="Times New Roman"/>
          <w:color w:val="222222"/>
          <w:sz w:val="24"/>
          <w:szCs w:val="24"/>
          <w:highlight w:val="white"/>
        </w:rPr>
        <w:t xml:space="preserve">, K. and </w:t>
      </w:r>
      <w:proofErr w:type="spellStart"/>
      <w:r w:rsidRPr="003B38EE">
        <w:rPr>
          <w:rFonts w:ascii="Times New Roman" w:eastAsia="Times New Roman" w:hAnsi="Times New Roman" w:cs="Times New Roman"/>
          <w:color w:val="222222"/>
          <w:sz w:val="24"/>
          <w:szCs w:val="24"/>
          <w:highlight w:val="white"/>
        </w:rPr>
        <w:t>Saha</w:t>
      </w:r>
      <w:proofErr w:type="spellEnd"/>
      <w:r w:rsidRPr="003B38EE">
        <w:rPr>
          <w:rFonts w:ascii="Times New Roman" w:eastAsia="Times New Roman" w:hAnsi="Times New Roman" w:cs="Times New Roman"/>
          <w:color w:val="222222"/>
          <w:sz w:val="24"/>
          <w:szCs w:val="24"/>
          <w:highlight w:val="white"/>
        </w:rPr>
        <w:t>, S., 2018.</w:t>
      </w:r>
      <w:proofErr w:type="gramEnd"/>
      <w:r w:rsidRPr="003B38EE">
        <w:rPr>
          <w:rFonts w:ascii="Times New Roman" w:eastAsia="Times New Roman" w:hAnsi="Times New Roman" w:cs="Times New Roman"/>
          <w:color w:val="222222"/>
          <w:sz w:val="24"/>
          <w:szCs w:val="24"/>
          <w:highlight w:val="white"/>
        </w:rPr>
        <w:t xml:space="preserve"> Influence of procurement decisions in two-period green supply chain. </w:t>
      </w:r>
      <w:proofErr w:type="gramStart"/>
      <w:r w:rsidRPr="003B38EE">
        <w:rPr>
          <w:rFonts w:ascii="Times New Roman" w:eastAsia="Times New Roman" w:hAnsi="Times New Roman" w:cs="Times New Roman"/>
          <w:i/>
          <w:color w:val="222222"/>
          <w:sz w:val="24"/>
          <w:szCs w:val="24"/>
          <w:highlight w:val="white"/>
        </w:rPr>
        <w:t>Journal of Cleaner Production</w:t>
      </w:r>
      <w:r w:rsidRPr="003B38EE">
        <w:rPr>
          <w:rFonts w:ascii="Times New Roman" w:eastAsia="Times New Roman" w:hAnsi="Times New Roman" w:cs="Times New Roman"/>
          <w:color w:val="222222"/>
          <w:sz w:val="24"/>
          <w:szCs w:val="24"/>
          <w:highlight w:val="white"/>
        </w:rPr>
        <w:t>, </w:t>
      </w:r>
      <w:r w:rsidRPr="003B38EE">
        <w:rPr>
          <w:rFonts w:ascii="Times New Roman" w:eastAsia="Times New Roman" w:hAnsi="Times New Roman" w:cs="Times New Roman"/>
          <w:i/>
          <w:color w:val="222222"/>
          <w:sz w:val="24"/>
          <w:szCs w:val="24"/>
          <w:highlight w:val="white"/>
        </w:rPr>
        <w:t>190</w:t>
      </w:r>
      <w:r w:rsidRPr="003B38EE">
        <w:rPr>
          <w:rFonts w:ascii="Times New Roman" w:eastAsia="Times New Roman" w:hAnsi="Times New Roman" w:cs="Times New Roman"/>
          <w:color w:val="222222"/>
          <w:sz w:val="24"/>
          <w:szCs w:val="24"/>
          <w:highlight w:val="white"/>
        </w:rPr>
        <w:t>, pp.388-402.</w:t>
      </w:r>
      <w:proofErr w:type="gramEnd"/>
    </w:p>
    <w:p w:rsidR="003B38EE" w:rsidRPr="003B38EE" w:rsidRDefault="003B38EE" w:rsidP="003B38EE">
      <w:pPr>
        <w:spacing w:line="480" w:lineRule="auto"/>
        <w:ind w:left="720" w:hanging="720"/>
        <w:rPr>
          <w:rFonts w:ascii="Times New Roman" w:eastAsia="Times New Roman" w:hAnsi="Times New Roman" w:cs="Times New Roman"/>
          <w:color w:val="222222"/>
          <w:sz w:val="24"/>
          <w:szCs w:val="24"/>
          <w:highlight w:val="white"/>
        </w:rPr>
      </w:pPr>
      <w:proofErr w:type="spellStart"/>
      <w:proofErr w:type="gramStart"/>
      <w:r w:rsidRPr="003B38EE">
        <w:rPr>
          <w:rFonts w:ascii="Times New Roman" w:eastAsia="Times New Roman" w:hAnsi="Times New Roman" w:cs="Times New Roman"/>
          <w:color w:val="222222"/>
          <w:sz w:val="24"/>
          <w:szCs w:val="24"/>
          <w:highlight w:val="white"/>
        </w:rPr>
        <w:t>Pijper</w:t>
      </w:r>
      <w:proofErr w:type="spellEnd"/>
      <w:r w:rsidRPr="003B38EE">
        <w:rPr>
          <w:rFonts w:ascii="Times New Roman" w:eastAsia="Times New Roman" w:hAnsi="Times New Roman" w:cs="Times New Roman"/>
          <w:color w:val="222222"/>
          <w:sz w:val="24"/>
          <w:szCs w:val="24"/>
          <w:highlight w:val="white"/>
        </w:rPr>
        <w:t>, T., 2016.</w:t>
      </w:r>
      <w:proofErr w:type="gramEnd"/>
      <w:r w:rsidRPr="003B38EE">
        <w:rPr>
          <w:rFonts w:ascii="Times New Roman" w:eastAsia="Times New Roman" w:hAnsi="Times New Roman" w:cs="Times New Roman"/>
          <w:color w:val="222222"/>
          <w:sz w:val="24"/>
          <w:szCs w:val="24"/>
          <w:highlight w:val="white"/>
        </w:rPr>
        <w:t> </w:t>
      </w:r>
      <w:r w:rsidRPr="003B38EE">
        <w:rPr>
          <w:rFonts w:ascii="Times New Roman" w:eastAsia="Times New Roman" w:hAnsi="Times New Roman" w:cs="Times New Roman"/>
          <w:i/>
          <w:color w:val="222222"/>
          <w:sz w:val="24"/>
          <w:szCs w:val="24"/>
          <w:highlight w:val="white"/>
        </w:rPr>
        <w:t xml:space="preserve">Creative accounting: </w:t>
      </w:r>
      <w:proofErr w:type="gramStart"/>
      <w:r w:rsidRPr="003B38EE">
        <w:rPr>
          <w:rFonts w:ascii="Times New Roman" w:eastAsia="Times New Roman" w:hAnsi="Times New Roman" w:cs="Times New Roman"/>
          <w:i/>
          <w:color w:val="222222"/>
          <w:sz w:val="24"/>
          <w:szCs w:val="24"/>
          <w:highlight w:val="white"/>
        </w:rPr>
        <w:t>The</w:t>
      </w:r>
      <w:proofErr w:type="gramEnd"/>
      <w:r w:rsidRPr="003B38EE">
        <w:rPr>
          <w:rFonts w:ascii="Times New Roman" w:eastAsia="Times New Roman" w:hAnsi="Times New Roman" w:cs="Times New Roman"/>
          <w:i/>
          <w:color w:val="222222"/>
          <w:sz w:val="24"/>
          <w:szCs w:val="24"/>
          <w:highlight w:val="white"/>
        </w:rPr>
        <w:t xml:space="preserve"> effectiveness of financial reporting in the UK</w:t>
      </w:r>
      <w:r w:rsidRPr="003B38EE">
        <w:rPr>
          <w:rFonts w:ascii="Times New Roman" w:eastAsia="Times New Roman" w:hAnsi="Times New Roman" w:cs="Times New Roman"/>
          <w:color w:val="222222"/>
          <w:sz w:val="24"/>
          <w:szCs w:val="24"/>
          <w:highlight w:val="white"/>
        </w:rPr>
        <w:t xml:space="preserve">. </w:t>
      </w:r>
      <w:proofErr w:type="gramStart"/>
      <w:r w:rsidRPr="003B38EE">
        <w:rPr>
          <w:rFonts w:ascii="Times New Roman" w:eastAsia="Times New Roman" w:hAnsi="Times New Roman" w:cs="Times New Roman"/>
          <w:color w:val="222222"/>
          <w:sz w:val="24"/>
          <w:szCs w:val="24"/>
          <w:highlight w:val="white"/>
        </w:rPr>
        <w:t>Springer.</w:t>
      </w:r>
      <w:proofErr w:type="gramEnd"/>
    </w:p>
    <w:p w:rsidR="003B38EE" w:rsidRPr="003B38EE" w:rsidRDefault="003B38EE" w:rsidP="003B38EE">
      <w:pPr>
        <w:spacing w:line="480" w:lineRule="auto"/>
        <w:ind w:left="720" w:hanging="720"/>
        <w:rPr>
          <w:rFonts w:ascii="Times New Roman" w:eastAsia="Times New Roman" w:hAnsi="Times New Roman" w:cs="Times New Roman"/>
          <w:color w:val="222222"/>
          <w:sz w:val="24"/>
          <w:szCs w:val="24"/>
          <w:highlight w:val="white"/>
        </w:rPr>
      </w:pPr>
      <w:r w:rsidRPr="003B38EE">
        <w:rPr>
          <w:rFonts w:ascii="Times New Roman" w:eastAsia="Times New Roman" w:hAnsi="Times New Roman" w:cs="Times New Roman"/>
          <w:color w:val="222222"/>
          <w:sz w:val="24"/>
          <w:szCs w:val="24"/>
          <w:highlight w:val="white"/>
        </w:rPr>
        <w:t xml:space="preserve">Scott, C., Lundgren, H. and Thompson, P., 2018. Guide to Finance in Supply Chain Management. </w:t>
      </w:r>
      <w:proofErr w:type="gramStart"/>
      <w:r w:rsidRPr="003B38EE">
        <w:rPr>
          <w:rFonts w:ascii="Times New Roman" w:eastAsia="Times New Roman" w:hAnsi="Times New Roman" w:cs="Times New Roman"/>
          <w:color w:val="222222"/>
          <w:sz w:val="24"/>
          <w:szCs w:val="24"/>
          <w:highlight w:val="white"/>
        </w:rPr>
        <w:t>In </w:t>
      </w:r>
      <w:r w:rsidRPr="003B38EE">
        <w:rPr>
          <w:rFonts w:ascii="Times New Roman" w:eastAsia="Times New Roman" w:hAnsi="Times New Roman" w:cs="Times New Roman"/>
          <w:i/>
          <w:color w:val="222222"/>
          <w:sz w:val="24"/>
          <w:szCs w:val="24"/>
          <w:highlight w:val="white"/>
        </w:rPr>
        <w:t>Guide to Supply Chain Management</w:t>
      </w:r>
      <w:r w:rsidRPr="003B38EE">
        <w:rPr>
          <w:rFonts w:ascii="Times New Roman" w:eastAsia="Times New Roman" w:hAnsi="Times New Roman" w:cs="Times New Roman"/>
          <w:color w:val="222222"/>
          <w:sz w:val="24"/>
          <w:szCs w:val="24"/>
          <w:highlight w:val="white"/>
        </w:rPr>
        <w:t> (pp. 161-174).</w:t>
      </w:r>
      <w:proofErr w:type="gramEnd"/>
      <w:r w:rsidRPr="003B38EE">
        <w:rPr>
          <w:rFonts w:ascii="Times New Roman" w:eastAsia="Times New Roman" w:hAnsi="Times New Roman" w:cs="Times New Roman"/>
          <w:color w:val="222222"/>
          <w:sz w:val="24"/>
          <w:szCs w:val="24"/>
          <w:highlight w:val="white"/>
        </w:rPr>
        <w:t xml:space="preserve"> </w:t>
      </w:r>
      <w:proofErr w:type="gramStart"/>
      <w:r w:rsidRPr="003B38EE">
        <w:rPr>
          <w:rFonts w:ascii="Times New Roman" w:eastAsia="Times New Roman" w:hAnsi="Times New Roman" w:cs="Times New Roman"/>
          <w:color w:val="222222"/>
          <w:sz w:val="24"/>
          <w:szCs w:val="24"/>
          <w:highlight w:val="white"/>
        </w:rPr>
        <w:t>Springer, Cham.</w:t>
      </w:r>
      <w:proofErr w:type="gramEnd"/>
    </w:p>
    <w:p w:rsidR="003B38EE" w:rsidRPr="003B38EE" w:rsidRDefault="003B38EE" w:rsidP="003B38EE">
      <w:pPr>
        <w:spacing w:line="480" w:lineRule="auto"/>
        <w:ind w:left="720" w:hanging="720"/>
        <w:rPr>
          <w:rFonts w:ascii="Times New Roman" w:eastAsia="Times New Roman" w:hAnsi="Times New Roman" w:cs="Times New Roman"/>
          <w:color w:val="222222"/>
          <w:sz w:val="24"/>
          <w:szCs w:val="24"/>
          <w:highlight w:val="white"/>
        </w:rPr>
      </w:pPr>
      <w:proofErr w:type="gramStart"/>
      <w:r w:rsidRPr="003B38EE">
        <w:rPr>
          <w:rFonts w:ascii="Times New Roman" w:eastAsia="Times New Roman" w:hAnsi="Times New Roman" w:cs="Times New Roman"/>
          <w:color w:val="222222"/>
          <w:sz w:val="24"/>
          <w:szCs w:val="24"/>
          <w:highlight w:val="white"/>
        </w:rPr>
        <w:t>Vu, M., 2016.</w:t>
      </w:r>
      <w:proofErr w:type="gramEnd"/>
      <w:r w:rsidRPr="003B38EE">
        <w:rPr>
          <w:rFonts w:ascii="Times New Roman" w:eastAsia="Times New Roman" w:hAnsi="Times New Roman" w:cs="Times New Roman"/>
          <w:color w:val="222222"/>
          <w:sz w:val="24"/>
          <w:szCs w:val="24"/>
          <w:highlight w:val="white"/>
        </w:rPr>
        <w:t xml:space="preserve"> IS THE BALANCED SCORECARD USEFUL IN A COMPETITIVE INDUSTRY</w:t>
      </w:r>
      <w:proofErr w:type="gramStart"/>
      <w:r w:rsidRPr="003B38EE">
        <w:rPr>
          <w:rFonts w:ascii="Times New Roman" w:eastAsia="Times New Roman" w:hAnsi="Times New Roman" w:cs="Times New Roman"/>
          <w:color w:val="222222"/>
          <w:sz w:val="24"/>
          <w:szCs w:val="24"/>
          <w:highlight w:val="white"/>
        </w:rPr>
        <w:t>?:</w:t>
      </w:r>
      <w:proofErr w:type="gramEnd"/>
      <w:r w:rsidRPr="003B38EE">
        <w:rPr>
          <w:rFonts w:ascii="Times New Roman" w:eastAsia="Times New Roman" w:hAnsi="Times New Roman" w:cs="Times New Roman"/>
          <w:color w:val="222222"/>
          <w:sz w:val="24"/>
          <w:szCs w:val="24"/>
          <w:highlight w:val="white"/>
        </w:rPr>
        <w:t xml:space="preserve"> Using Tesco PLC as a case study in the UK grocery retail industry.</w:t>
      </w:r>
    </w:p>
    <w:p w:rsidR="003B38EE" w:rsidRPr="003B38EE" w:rsidRDefault="003B38EE" w:rsidP="003B38EE">
      <w:pPr>
        <w:spacing w:line="480" w:lineRule="auto"/>
        <w:ind w:left="720" w:hanging="720"/>
        <w:rPr>
          <w:rFonts w:ascii="Times New Roman" w:eastAsia="Times New Roman" w:hAnsi="Times New Roman" w:cs="Times New Roman"/>
          <w:sz w:val="24"/>
          <w:szCs w:val="24"/>
        </w:rPr>
      </w:pPr>
      <w:proofErr w:type="gramStart"/>
      <w:r w:rsidRPr="003B38EE">
        <w:rPr>
          <w:rFonts w:ascii="Times New Roman" w:eastAsia="Times New Roman" w:hAnsi="Times New Roman" w:cs="Times New Roman"/>
          <w:color w:val="222222"/>
          <w:sz w:val="24"/>
          <w:szCs w:val="24"/>
          <w:highlight w:val="white"/>
        </w:rPr>
        <w:t>Wood, S., Wrigley, N. and Coe, N.M., 2016.</w:t>
      </w:r>
      <w:proofErr w:type="gramEnd"/>
      <w:r w:rsidRPr="003B38EE">
        <w:rPr>
          <w:rFonts w:ascii="Times New Roman" w:eastAsia="Times New Roman" w:hAnsi="Times New Roman" w:cs="Times New Roman"/>
          <w:color w:val="222222"/>
          <w:sz w:val="24"/>
          <w:szCs w:val="24"/>
          <w:highlight w:val="white"/>
        </w:rPr>
        <w:t xml:space="preserve"> Capital discipline and financial market relations in retail globalization: insights from the case of Tesco plc. </w:t>
      </w:r>
      <w:proofErr w:type="gramStart"/>
      <w:r w:rsidRPr="003B38EE">
        <w:rPr>
          <w:rFonts w:ascii="Times New Roman" w:eastAsia="Times New Roman" w:hAnsi="Times New Roman" w:cs="Times New Roman"/>
          <w:i/>
          <w:color w:val="222222"/>
          <w:sz w:val="24"/>
          <w:szCs w:val="24"/>
          <w:highlight w:val="white"/>
        </w:rPr>
        <w:t>Journal of Economic Geography</w:t>
      </w:r>
      <w:r w:rsidRPr="003B38EE">
        <w:rPr>
          <w:rFonts w:ascii="Times New Roman" w:eastAsia="Times New Roman" w:hAnsi="Times New Roman" w:cs="Times New Roman"/>
          <w:color w:val="222222"/>
          <w:sz w:val="24"/>
          <w:szCs w:val="24"/>
          <w:highlight w:val="white"/>
        </w:rPr>
        <w:t>, </w:t>
      </w:r>
      <w:r w:rsidRPr="003B38EE">
        <w:rPr>
          <w:rFonts w:ascii="Times New Roman" w:eastAsia="Times New Roman" w:hAnsi="Times New Roman" w:cs="Times New Roman"/>
          <w:i/>
          <w:color w:val="222222"/>
          <w:sz w:val="24"/>
          <w:szCs w:val="24"/>
          <w:highlight w:val="white"/>
        </w:rPr>
        <w:t>17</w:t>
      </w:r>
      <w:r w:rsidRPr="003B38EE">
        <w:rPr>
          <w:rFonts w:ascii="Times New Roman" w:eastAsia="Times New Roman" w:hAnsi="Times New Roman" w:cs="Times New Roman"/>
          <w:color w:val="222222"/>
          <w:sz w:val="24"/>
          <w:szCs w:val="24"/>
          <w:highlight w:val="white"/>
        </w:rPr>
        <w:t>(1), pp.31-57.</w:t>
      </w:r>
      <w:proofErr w:type="gramEnd"/>
    </w:p>
    <w:p w:rsidR="003B38EE" w:rsidRPr="003B38EE" w:rsidRDefault="003B38EE" w:rsidP="003B38EE">
      <w:pPr>
        <w:spacing w:line="480" w:lineRule="auto"/>
        <w:rPr>
          <w:rFonts w:ascii="Times New Roman" w:eastAsia="Times New Roman" w:hAnsi="Times New Roman" w:cs="Times New Roman"/>
          <w:sz w:val="24"/>
          <w:szCs w:val="24"/>
        </w:rPr>
      </w:pPr>
    </w:p>
    <w:sectPr w:rsidR="003B38EE" w:rsidRPr="003B38EE" w:rsidSect="002E303C">
      <w:headerReference w:type="default" r:id="rId6"/>
      <w:headerReference w:type="first" r:id="rId7"/>
      <w:pgSz w:w="12240" w:h="15840"/>
      <w:pgMar w:top="1440" w:right="1440" w:bottom="1440" w:left="1440" w:header="720" w:footer="720" w:gutter="0"/>
      <w:pgNumType w:start="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7AE" w:rsidRDefault="001B17AE">
      <w:pPr>
        <w:spacing w:after="0" w:line="240" w:lineRule="auto"/>
      </w:pPr>
      <w:r>
        <w:separator/>
      </w:r>
    </w:p>
  </w:endnote>
  <w:endnote w:type="continuationSeparator" w:id="0">
    <w:p w:rsidR="001B17AE" w:rsidRDefault="001B17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7AE" w:rsidRDefault="001B17AE">
      <w:pPr>
        <w:spacing w:after="0" w:line="240" w:lineRule="auto"/>
      </w:pPr>
      <w:r>
        <w:separator/>
      </w:r>
    </w:p>
  </w:footnote>
  <w:footnote w:type="continuationSeparator" w:id="0">
    <w:p w:rsidR="001B17AE" w:rsidRDefault="001B17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76" w:rsidRDefault="003B38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B551D">
      <w:rPr>
        <w:rFonts w:ascii="Times New Roman" w:eastAsia="Times New Roman" w:hAnsi="Times New Roman" w:cs="Times New Roman"/>
        <w:sz w:val="24"/>
        <w:szCs w:val="24"/>
      </w:rPr>
      <w:t>STRATEGIC AND FINANCIAL MA</w:t>
    </w:r>
    <w:r>
      <w:rPr>
        <w:rFonts w:ascii="Times New Roman" w:eastAsia="Times New Roman" w:hAnsi="Times New Roman" w:cs="Times New Roman"/>
        <w:sz w:val="24"/>
        <w:szCs w:val="24"/>
      </w:rPr>
      <w:t xml:space="preserve">KING DECISION      </w:t>
    </w:r>
    <w:r w:rsidR="002E303C">
      <w:rPr>
        <w:rFonts w:ascii="Times New Roman" w:eastAsia="Times New Roman" w:hAnsi="Times New Roman" w:cs="Times New Roman"/>
        <w:sz w:val="24"/>
        <w:szCs w:val="24"/>
      </w:rPr>
      <w:fldChar w:fldCharType="begin"/>
    </w:r>
    <w:r w:rsidR="00FB551D">
      <w:rPr>
        <w:rFonts w:ascii="Times New Roman" w:eastAsia="Times New Roman" w:hAnsi="Times New Roman" w:cs="Times New Roman"/>
        <w:sz w:val="24"/>
        <w:szCs w:val="24"/>
      </w:rPr>
      <w:instrText>PAGE</w:instrText>
    </w:r>
    <w:r w:rsidR="002E303C">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w:t>
    </w:r>
    <w:r w:rsidR="002E303C">
      <w:rPr>
        <w:rFonts w:ascii="Times New Roman" w:eastAsia="Times New Roman" w:hAnsi="Times New Roman" w:cs="Times New Roman"/>
        <w:sz w:val="24"/>
        <w:szCs w:val="24"/>
      </w:rPr>
      <w:fldChar w:fldCharType="end"/>
    </w:r>
  </w:p>
  <w:p w:rsidR="002F7276" w:rsidRDefault="002F727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76" w:rsidRDefault="00FB551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STRATEGIC AND FINANCIAL MAKING DECISION                                                        </w:t>
    </w:r>
  </w:p>
  <w:p w:rsidR="002F7276" w:rsidRDefault="002F727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F7276"/>
    <w:rsid w:val="000C493E"/>
    <w:rsid w:val="0012617C"/>
    <w:rsid w:val="001B17AE"/>
    <w:rsid w:val="002830CC"/>
    <w:rsid w:val="002E303C"/>
    <w:rsid w:val="002F7276"/>
    <w:rsid w:val="003B02C4"/>
    <w:rsid w:val="003B38EE"/>
    <w:rsid w:val="003C24AD"/>
    <w:rsid w:val="005C0131"/>
    <w:rsid w:val="006B1BF6"/>
    <w:rsid w:val="0083342D"/>
    <w:rsid w:val="00857974"/>
    <w:rsid w:val="00A127B9"/>
    <w:rsid w:val="00D47DCF"/>
    <w:rsid w:val="00D87694"/>
    <w:rsid w:val="00DF0D90"/>
    <w:rsid w:val="00E251E8"/>
    <w:rsid w:val="00E54F99"/>
    <w:rsid w:val="00E65F3B"/>
    <w:rsid w:val="00EB2176"/>
    <w:rsid w:val="00F27B97"/>
    <w:rsid w:val="00FB55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60D"/>
  </w:style>
  <w:style w:type="paragraph" w:styleId="Heading1">
    <w:name w:val="heading 1"/>
    <w:basedOn w:val="Normal"/>
    <w:next w:val="Normal"/>
    <w:rsid w:val="002E303C"/>
    <w:pPr>
      <w:keepNext/>
      <w:keepLines/>
      <w:spacing w:before="480" w:after="120"/>
      <w:outlineLvl w:val="0"/>
    </w:pPr>
    <w:rPr>
      <w:b/>
      <w:sz w:val="48"/>
      <w:szCs w:val="48"/>
    </w:rPr>
  </w:style>
  <w:style w:type="paragraph" w:styleId="Heading2">
    <w:name w:val="heading 2"/>
    <w:basedOn w:val="Normal"/>
    <w:next w:val="Normal"/>
    <w:rsid w:val="002E303C"/>
    <w:pPr>
      <w:keepNext/>
      <w:keepLines/>
      <w:spacing w:before="360" w:after="80"/>
      <w:outlineLvl w:val="1"/>
    </w:pPr>
    <w:rPr>
      <w:b/>
      <w:sz w:val="36"/>
      <w:szCs w:val="36"/>
    </w:rPr>
  </w:style>
  <w:style w:type="paragraph" w:styleId="Heading3">
    <w:name w:val="heading 3"/>
    <w:basedOn w:val="Normal"/>
    <w:next w:val="Normal"/>
    <w:rsid w:val="002E303C"/>
    <w:pPr>
      <w:keepNext/>
      <w:keepLines/>
      <w:spacing w:before="280" w:after="80"/>
      <w:outlineLvl w:val="2"/>
    </w:pPr>
    <w:rPr>
      <w:b/>
      <w:sz w:val="28"/>
      <w:szCs w:val="28"/>
    </w:rPr>
  </w:style>
  <w:style w:type="paragraph" w:styleId="Heading4">
    <w:name w:val="heading 4"/>
    <w:basedOn w:val="Normal"/>
    <w:next w:val="Normal"/>
    <w:rsid w:val="002E303C"/>
    <w:pPr>
      <w:keepNext/>
      <w:keepLines/>
      <w:spacing w:before="240" w:after="40"/>
      <w:outlineLvl w:val="3"/>
    </w:pPr>
    <w:rPr>
      <w:b/>
      <w:sz w:val="24"/>
      <w:szCs w:val="24"/>
    </w:rPr>
  </w:style>
  <w:style w:type="paragraph" w:styleId="Heading5">
    <w:name w:val="heading 5"/>
    <w:basedOn w:val="Normal"/>
    <w:next w:val="Normal"/>
    <w:rsid w:val="002E303C"/>
    <w:pPr>
      <w:keepNext/>
      <w:keepLines/>
      <w:spacing w:before="220" w:after="40"/>
      <w:outlineLvl w:val="4"/>
    </w:pPr>
    <w:rPr>
      <w:b/>
    </w:rPr>
  </w:style>
  <w:style w:type="paragraph" w:styleId="Heading6">
    <w:name w:val="heading 6"/>
    <w:basedOn w:val="Normal"/>
    <w:next w:val="Normal"/>
    <w:rsid w:val="002E303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2E303C"/>
    <w:pPr>
      <w:keepNext/>
      <w:keepLines/>
      <w:spacing w:before="480" w:after="120"/>
    </w:pPr>
    <w:rPr>
      <w:b/>
      <w:sz w:val="72"/>
      <w:szCs w:val="72"/>
    </w:rPr>
  </w:style>
  <w:style w:type="paragraph" w:styleId="Header">
    <w:name w:val="header"/>
    <w:basedOn w:val="Normal"/>
    <w:link w:val="HeaderChar"/>
    <w:uiPriority w:val="99"/>
    <w:unhideWhenUsed/>
    <w:rsid w:val="00235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E0B"/>
  </w:style>
  <w:style w:type="paragraph" w:styleId="Footer">
    <w:name w:val="footer"/>
    <w:basedOn w:val="Normal"/>
    <w:link w:val="FooterChar"/>
    <w:uiPriority w:val="99"/>
    <w:semiHidden/>
    <w:unhideWhenUsed/>
    <w:rsid w:val="00235E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5E0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65602"/>
    <w:pPr>
      <w:spacing w:line="240" w:lineRule="auto"/>
    </w:pPr>
    <w:rPr>
      <w:sz w:val="20"/>
      <w:szCs w:val="20"/>
    </w:rPr>
  </w:style>
  <w:style w:type="character" w:customStyle="1" w:styleId="CommentTextChar">
    <w:name w:val="Comment Text Char"/>
    <w:basedOn w:val="DefaultParagraphFont"/>
    <w:link w:val="CommentText"/>
    <w:uiPriority w:val="99"/>
    <w:semiHidden/>
    <w:rsid w:val="00265602"/>
    <w:rPr>
      <w:sz w:val="20"/>
      <w:szCs w:val="20"/>
    </w:rPr>
  </w:style>
  <w:style w:type="paragraph" w:styleId="BalloonText">
    <w:name w:val="Balloon Text"/>
    <w:basedOn w:val="Normal"/>
    <w:link w:val="BalloonTextChar"/>
    <w:uiPriority w:val="99"/>
    <w:semiHidden/>
    <w:unhideWhenUsed/>
    <w:rsid w:val="00012B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B20"/>
    <w:rPr>
      <w:rFonts w:ascii="Tahoma" w:hAnsi="Tahoma" w:cs="Tahoma"/>
      <w:sz w:val="16"/>
      <w:szCs w:val="16"/>
    </w:rPr>
  </w:style>
  <w:style w:type="paragraph" w:styleId="Subtitle">
    <w:name w:val="Subtitle"/>
    <w:basedOn w:val="Normal"/>
    <w:next w:val="Normal"/>
    <w:rsid w:val="002E303C"/>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E65F3B"/>
    <w:rPr>
      <w:color w:val="808080"/>
    </w:rPr>
  </w:style>
  <w:style w:type="table" w:styleId="TableGrid">
    <w:name w:val="Table Grid"/>
    <w:basedOn w:val="TableNormal"/>
    <w:uiPriority w:val="39"/>
    <w:rsid w:val="003B02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1957</Words>
  <Characters>11156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hazard</dc:creator>
  <cp:lastModifiedBy>mwaura</cp:lastModifiedBy>
  <cp:revision>2</cp:revision>
  <dcterms:created xsi:type="dcterms:W3CDTF">2018-08-14T04:51:00Z</dcterms:created>
  <dcterms:modified xsi:type="dcterms:W3CDTF">2018-08-14T04:51:00Z</dcterms:modified>
</cp:coreProperties>
</file>